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477AF8">
      <w:pPr>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477AF8" w:rsidRDefault="00477AF8" w:rsidP="001D14AC"/>
    <w:p w:rsidR="0014592A" w:rsidRDefault="0014592A" w:rsidP="0014592A">
      <w:pPr>
        <w:pStyle w:val="Heading1"/>
        <w:rPr>
          <w:b/>
          <w:bCs w:val="0"/>
          <w:sz w:val="28"/>
          <w:szCs w:val="28"/>
        </w:rPr>
      </w:pPr>
      <w:r w:rsidRPr="00531C8D">
        <w:rPr>
          <w:b/>
          <w:bCs w:val="0"/>
          <w:sz w:val="28"/>
          <w:szCs w:val="28"/>
        </w:rPr>
        <w:t>შესავალი</w:t>
      </w:r>
    </w:p>
    <w:p w:rsidR="00A8351A" w:rsidRPr="00195FF9" w:rsidRDefault="005D1D66" w:rsidP="00A8351A">
      <w:pPr>
        <w:ind w:firstLine="540"/>
        <w:jc w:val="both"/>
        <w:rPr>
          <w:rFonts w:ascii="Segoe UI" w:hAnsi="Segoe UI" w:cs="Segoe UI"/>
          <w:sz w:val="20"/>
          <w:szCs w:val="20"/>
          <w:lang w:val="ka-GE"/>
        </w:rPr>
      </w:pPr>
      <w:r w:rsidRPr="00195FF9">
        <w:rPr>
          <w:rFonts w:ascii="Segoe UI" w:hAnsi="Segoe UI" w:cs="Segoe UI"/>
          <w:sz w:val="20"/>
          <w:szCs w:val="20"/>
          <w:lang w:val="ka-GE"/>
        </w:rPr>
        <w:t>2021 წლის მარტი-აპრილიდან უკვე მკაფიო გახდა ეკონომიკის აღდგენის გაცილებით სწრაფი ტრენდი, ვიდრე ეს მანამდე იყო ნ</w:t>
      </w:r>
      <w:r w:rsidR="00D73B98" w:rsidRPr="00195FF9">
        <w:rPr>
          <w:rFonts w:ascii="Segoe UI" w:hAnsi="Segoe UI" w:cs="Segoe UI"/>
          <w:sz w:val="20"/>
          <w:szCs w:val="20"/>
          <w:lang w:val="ka-GE"/>
        </w:rPr>
        <w:t>ა</w:t>
      </w:r>
      <w:r w:rsidRPr="00195FF9">
        <w:rPr>
          <w:rFonts w:ascii="Segoe UI" w:hAnsi="Segoe UI" w:cs="Segoe UI"/>
          <w:sz w:val="20"/>
          <w:szCs w:val="20"/>
          <w:lang w:val="ka-GE"/>
        </w:rPr>
        <w:t>ვარაუდევი. მიუხედავად ამისა, კვლ</w:t>
      </w:r>
      <w:r w:rsidR="00F17ADE">
        <w:rPr>
          <w:rFonts w:ascii="Segoe UI" w:hAnsi="Segoe UI" w:cs="Segoe UI"/>
          <w:sz w:val="20"/>
          <w:szCs w:val="20"/>
          <w:lang w:val="ka-GE"/>
        </w:rPr>
        <w:t>ა</w:t>
      </w:r>
      <w:r w:rsidRPr="00195FF9">
        <w:rPr>
          <w:rFonts w:ascii="Segoe UI" w:hAnsi="Segoe UI" w:cs="Segoe UI"/>
          <w:sz w:val="20"/>
          <w:szCs w:val="20"/>
          <w:lang w:val="ka-GE"/>
        </w:rPr>
        <w:t xml:space="preserve">ვ </w:t>
      </w:r>
      <w:r w:rsidR="00D73B98" w:rsidRPr="00195FF9">
        <w:rPr>
          <w:rFonts w:ascii="Segoe UI" w:hAnsi="Segoe UI" w:cs="Segoe UI"/>
          <w:sz w:val="20"/>
          <w:szCs w:val="20"/>
          <w:lang w:val="ka-GE"/>
        </w:rPr>
        <w:t>ძალიან მნიშვნელოვანია საშუალვადიანი რისკების ანალიზი, ვიანიდან პოსტპანდემიუ</w:t>
      </w:r>
      <w:r w:rsidR="00FC02D6" w:rsidRPr="00195FF9">
        <w:rPr>
          <w:rFonts w:ascii="Segoe UI" w:hAnsi="Segoe UI" w:cs="Segoe UI"/>
          <w:sz w:val="20"/>
          <w:szCs w:val="20"/>
          <w:lang w:val="ka-GE"/>
        </w:rPr>
        <w:t>რ</w:t>
      </w:r>
      <w:r w:rsidR="00D73B98" w:rsidRPr="00195FF9">
        <w:rPr>
          <w:rFonts w:ascii="Segoe UI" w:hAnsi="Segoe UI" w:cs="Segoe UI"/>
          <w:sz w:val="20"/>
          <w:szCs w:val="20"/>
          <w:lang w:val="ka-GE"/>
        </w:rPr>
        <w:t xml:space="preserve"> პერიოდში ეკონ</w:t>
      </w:r>
      <w:r w:rsidR="00FC02D6" w:rsidRPr="00195FF9">
        <w:rPr>
          <w:rFonts w:ascii="Segoe UI" w:hAnsi="Segoe UI" w:cs="Segoe UI"/>
          <w:sz w:val="20"/>
          <w:szCs w:val="20"/>
          <w:lang w:val="ka-GE"/>
        </w:rPr>
        <w:t>ო</w:t>
      </w:r>
      <w:r w:rsidR="00D73B98" w:rsidRPr="00195FF9">
        <w:rPr>
          <w:rFonts w:ascii="Segoe UI" w:hAnsi="Segoe UI" w:cs="Segoe UI"/>
          <w:sz w:val="20"/>
          <w:szCs w:val="20"/>
          <w:lang w:val="ka-GE"/>
        </w:rPr>
        <w:t xml:space="preserve">მიკა კიდევ უფრო მოწყვლადია </w:t>
      </w:r>
      <w:r w:rsidR="00D86F34" w:rsidRPr="00195FF9">
        <w:rPr>
          <w:rFonts w:ascii="Segoe UI" w:hAnsi="Segoe UI" w:cs="Segoe UI"/>
          <w:sz w:val="20"/>
          <w:szCs w:val="20"/>
          <w:lang w:val="ka-GE"/>
        </w:rPr>
        <w:t>ამ</w:t>
      </w:r>
      <w:r w:rsidR="00D73B98" w:rsidRPr="00195FF9">
        <w:rPr>
          <w:rFonts w:ascii="Segoe UI" w:hAnsi="Segoe UI" w:cs="Segoe UI"/>
          <w:sz w:val="20"/>
          <w:szCs w:val="20"/>
          <w:lang w:val="ka-GE"/>
        </w:rPr>
        <w:t xml:space="preserve"> რისკებისა თუ შოკების მიმართ, ვიდრე პანდემი</w:t>
      </w:r>
      <w:r w:rsidR="00F17ADE">
        <w:rPr>
          <w:rFonts w:ascii="Segoe UI" w:hAnsi="Segoe UI" w:cs="Segoe UI"/>
          <w:sz w:val="20"/>
          <w:szCs w:val="20"/>
          <w:lang w:val="ka-GE"/>
        </w:rPr>
        <w:t>ა</w:t>
      </w:r>
      <w:r w:rsidR="00D73B98" w:rsidRPr="00195FF9">
        <w:rPr>
          <w:rFonts w:ascii="Segoe UI" w:hAnsi="Segoe UI" w:cs="Segoe UI"/>
          <w:sz w:val="20"/>
          <w:szCs w:val="20"/>
          <w:lang w:val="ka-GE"/>
        </w:rPr>
        <w:t>მდელ პერიოდში</w:t>
      </w:r>
      <w:r w:rsidR="00D86F34" w:rsidRPr="00195FF9">
        <w:rPr>
          <w:rFonts w:ascii="Segoe UI" w:hAnsi="Segoe UI" w:cs="Segoe UI"/>
          <w:sz w:val="20"/>
          <w:szCs w:val="20"/>
          <w:lang w:val="ka-GE"/>
        </w:rPr>
        <w:t xml:space="preserve"> იყო</w:t>
      </w:r>
      <w:r w:rsidR="00D73B98" w:rsidRPr="00195FF9">
        <w:rPr>
          <w:rFonts w:ascii="Segoe UI" w:hAnsi="Segoe UI" w:cs="Segoe UI"/>
          <w:sz w:val="20"/>
          <w:szCs w:val="20"/>
          <w:lang w:val="ka-GE"/>
        </w:rPr>
        <w:t>.</w:t>
      </w:r>
    </w:p>
    <w:p w:rsidR="00914DE1"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პანდემიი</w:t>
      </w:r>
      <w:r w:rsidR="00A8351A">
        <w:rPr>
          <w:rFonts w:ascii="Segoe UI" w:hAnsi="Segoe UI" w:cs="Segoe UI"/>
          <w:sz w:val="20"/>
          <w:szCs w:val="20"/>
          <w:lang w:val="ka-GE"/>
        </w:rPr>
        <w:t xml:space="preserve">ს დაწყებიდან </w:t>
      </w:r>
      <w:r w:rsidR="00D62C7F">
        <w:rPr>
          <w:rFonts w:ascii="Segoe UI" w:hAnsi="Segoe UI" w:cs="Segoe UI"/>
          <w:sz w:val="20"/>
          <w:szCs w:val="20"/>
          <w:lang w:val="ka-GE"/>
        </w:rPr>
        <w:t>2 წლის</w:t>
      </w:r>
      <w:r w:rsidRPr="00195FF9">
        <w:rPr>
          <w:rFonts w:ascii="Segoe UI" w:hAnsi="Segoe UI" w:cs="Segoe UI"/>
          <w:sz w:val="20"/>
          <w:szCs w:val="20"/>
          <w:lang w:val="ka-GE"/>
        </w:rPr>
        <w:t xml:space="preserve"> შემდეგაც მაღალი რჩება გაურკვევლობა გლობალური ეკონომიკური აღდგენის პერსპექტივებზე, გაურკვევლობის ახალ წყაროს წარმოადგენს აგრეთვე ვირუსის ახალი მუტაციები. 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w:t>
      </w:r>
      <w:r w:rsidR="00FC02D6" w:rsidRPr="00195FF9">
        <w:rPr>
          <w:rFonts w:ascii="Segoe UI" w:hAnsi="Segoe UI" w:cs="Segoe UI"/>
          <w:sz w:val="20"/>
          <w:szCs w:val="20"/>
          <w:lang w:val="ka-GE"/>
        </w:rPr>
        <w:t>ა</w:t>
      </w:r>
      <w:r w:rsidRPr="00195FF9">
        <w:rPr>
          <w:rFonts w:ascii="Segoe UI" w:hAnsi="Segoe UI" w:cs="Segoe UI"/>
          <w:sz w:val="20"/>
          <w:szCs w:val="20"/>
          <w:lang w:val="ka-GE"/>
        </w:rPr>
        <w:t>ნების ხარისხით, მეორე მხრივ კი პოლიტიკის საპასუხო მხარდასაჭერი ღონისძიებებით. ამ ეტაპისთვის ეკონომიკის აღდგენის ტემპი ორ მნიშვნელოვან ფაქტორზეა დამოკიდებული, ერთი მხრივ - რამდენად ეფექტიანად განხორციელდება ვაქცინაცია ვირუსის გავრცელების შესაზღუდად, ხოლო მეორე მხრივ - რამდენად წარმატებული</w:t>
      </w:r>
      <w:r w:rsidR="00595BD5">
        <w:rPr>
          <w:rFonts w:ascii="Segoe UI" w:hAnsi="Segoe UI" w:cs="Segoe UI"/>
          <w:sz w:val="20"/>
          <w:szCs w:val="20"/>
          <w:lang w:val="ka-GE"/>
        </w:rPr>
        <w:t>ა</w:t>
      </w:r>
      <w:r w:rsidRPr="00195FF9">
        <w:rPr>
          <w:rFonts w:ascii="Segoe UI" w:hAnsi="Segoe UI" w:cs="Segoe UI"/>
          <w:sz w:val="20"/>
          <w:szCs w:val="20"/>
          <w:lang w:val="ka-GE"/>
        </w:rPr>
        <w:t xml:space="preserve"> ეკონომიკის მხარდასაჭერი ღონისძიებებ</w:t>
      </w:r>
      <w:r w:rsidR="00595BD5">
        <w:rPr>
          <w:rFonts w:ascii="Segoe UI" w:hAnsi="Segoe UI" w:cs="Segoe UI"/>
          <w:sz w:val="20"/>
          <w:szCs w:val="20"/>
          <w:lang w:val="ka-GE"/>
        </w:rPr>
        <w:t>ი</w:t>
      </w:r>
      <w:r w:rsidRPr="00195FF9">
        <w:rPr>
          <w:rFonts w:ascii="Segoe UI" w:hAnsi="Segoe UI" w:cs="Segoe UI"/>
          <w:sz w:val="20"/>
          <w:szCs w:val="20"/>
          <w:lang w:val="ka-GE"/>
        </w:rPr>
        <w:t xml:space="preserve"> ხანგრძლივი დაზიანებების აღმოსაფხვრელად.</w:t>
      </w:r>
      <w:r w:rsidR="00D86F34" w:rsidRPr="00195FF9">
        <w:rPr>
          <w:rFonts w:ascii="Segoe UI" w:hAnsi="Segoe UI" w:cs="Segoe UI"/>
          <w:sz w:val="20"/>
          <w:szCs w:val="20"/>
          <w:lang w:val="ka-GE"/>
        </w:rPr>
        <w:t xml:space="preserve"> მოცემული მომენტისათვის ეკონომიკის აღდგენის პერსპექტივები განსხვავებული ქვეყნებისათვის კიდევ უფრო დაშორდა ერთმანეთს. ვაქცინაციის განხორციელების ეფექტი</w:t>
      </w:r>
      <w:r w:rsidR="00042F5A">
        <w:rPr>
          <w:rFonts w:ascii="Segoe UI" w:hAnsi="Segoe UI" w:cs="Segoe UI"/>
          <w:sz w:val="20"/>
          <w:szCs w:val="20"/>
          <w:lang w:val="ka-GE"/>
        </w:rPr>
        <w:t>ა</w:t>
      </w:r>
      <w:r w:rsidR="00D86F34" w:rsidRPr="00195FF9">
        <w:rPr>
          <w:rFonts w:ascii="Segoe UI" w:hAnsi="Segoe UI" w:cs="Segoe UI"/>
          <w:sz w:val="20"/>
          <w:szCs w:val="20"/>
          <w:lang w:val="ka-GE"/>
        </w:rPr>
        <w:t xml:space="preserve">ნობამ </w:t>
      </w:r>
      <w:r w:rsidR="00F17ADE">
        <w:rPr>
          <w:rFonts w:ascii="Segoe UI" w:hAnsi="Segoe UI" w:cs="Segoe UI"/>
          <w:sz w:val="20"/>
          <w:szCs w:val="20"/>
          <w:lang w:val="ka-GE"/>
        </w:rPr>
        <w:t>მკვე</w:t>
      </w:r>
      <w:r w:rsidR="00D86F34" w:rsidRPr="00195FF9">
        <w:rPr>
          <w:rFonts w:ascii="Segoe UI" w:hAnsi="Segoe UI" w:cs="Segoe UI"/>
          <w:sz w:val="20"/>
          <w:szCs w:val="20"/>
          <w:lang w:val="ka-GE"/>
        </w:rPr>
        <w:t>თ</w:t>
      </w:r>
      <w:r w:rsidR="00F17ADE">
        <w:rPr>
          <w:rFonts w:ascii="Segoe UI" w:hAnsi="Segoe UI" w:cs="Segoe UI"/>
          <w:sz w:val="20"/>
          <w:szCs w:val="20"/>
          <w:lang w:val="ka-GE"/>
        </w:rPr>
        <w:t>რ</w:t>
      </w:r>
      <w:r w:rsidR="00D86F34" w:rsidRPr="00195FF9">
        <w:rPr>
          <w:rFonts w:ascii="Segoe UI" w:hAnsi="Segoe UI" w:cs="Segoe UI"/>
          <w:sz w:val="20"/>
          <w:szCs w:val="20"/>
          <w:lang w:val="ka-GE"/>
        </w:rPr>
        <w:t xml:space="preserve">ი ხაზი გაავლო ქვეყნებს შორის და გამოიკვეთა გლობალური აღდგენის ორი სცენარი: ქვეყნები რომლებიც კვლავ დგანან  </w:t>
      </w:r>
      <w:r w:rsidR="00D86F34" w:rsidRPr="00195FF9">
        <w:rPr>
          <w:rFonts w:ascii="Segoe UI" w:hAnsi="Segoe UI" w:cs="Segoe UI"/>
          <w:sz w:val="20"/>
          <w:szCs w:val="20"/>
        </w:rPr>
        <w:t>covid-19</w:t>
      </w:r>
      <w:r w:rsidR="00D86F34" w:rsidRPr="00195FF9">
        <w:rPr>
          <w:rFonts w:ascii="Segoe UI" w:hAnsi="Segoe UI" w:cs="Segoe UI"/>
          <w:sz w:val="20"/>
          <w:szCs w:val="20"/>
          <w:lang w:val="ka-GE"/>
        </w:rPr>
        <w:t>-ის მომდევნო ტალღის წინაშე და ქვეყნები</w:t>
      </w:r>
      <w:r w:rsidR="00F17ADE">
        <w:rPr>
          <w:rFonts w:ascii="Segoe UI" w:hAnsi="Segoe UI" w:cs="Segoe UI"/>
          <w:sz w:val="20"/>
          <w:szCs w:val="20"/>
          <w:lang w:val="ka-GE"/>
        </w:rPr>
        <w:t>,</w:t>
      </w:r>
      <w:r w:rsidR="00D86F34" w:rsidRPr="00195FF9">
        <w:rPr>
          <w:rFonts w:ascii="Segoe UI" w:hAnsi="Segoe UI" w:cs="Segoe UI"/>
          <w:sz w:val="20"/>
          <w:szCs w:val="20"/>
          <w:lang w:val="ka-GE"/>
        </w:rPr>
        <w:t xml:space="preserve"> რომლებიც რომლებიც ეკონომიკური აქტივობის კიდევ უფრო ნორმალიზაციას ელიან (თითქმის ყველა განვითარებული ქვეყანა).</w:t>
      </w:r>
      <w:r w:rsidR="00D86F34" w:rsidRPr="00195FF9">
        <w:rPr>
          <w:rFonts w:ascii="Segoe UI" w:hAnsi="Segoe UI" w:cs="Segoe UI"/>
          <w:sz w:val="20"/>
          <w:szCs w:val="20"/>
        </w:rPr>
        <w:t xml:space="preserve"> </w:t>
      </w:r>
      <w:r w:rsidR="00D86F34" w:rsidRPr="00195FF9">
        <w:rPr>
          <w:rFonts w:ascii="Segoe UI" w:hAnsi="Segoe UI" w:cs="Segoe UI"/>
          <w:sz w:val="20"/>
          <w:szCs w:val="20"/>
          <w:lang w:val="ka-GE"/>
        </w:rPr>
        <w:t xml:space="preserve">აღსანიშნავია, რომ </w:t>
      </w:r>
      <w:r w:rsidR="001E0195">
        <w:rPr>
          <w:rFonts w:ascii="Segoe UI" w:hAnsi="Segoe UI" w:cs="Segoe UI"/>
          <w:sz w:val="20"/>
          <w:szCs w:val="20"/>
          <w:lang w:val="ka-GE"/>
        </w:rPr>
        <w:t>გლობალური აღდგენა კვლავ გრძელდება, მიუხედავად იმისა, რომ პანდემ</w:t>
      </w:r>
      <w:r w:rsidR="00914DE1">
        <w:rPr>
          <w:rFonts w:ascii="Segoe UI" w:hAnsi="Segoe UI" w:cs="Segoe UI"/>
          <w:sz w:val="20"/>
          <w:szCs w:val="20"/>
          <w:lang w:val="ka-GE"/>
        </w:rPr>
        <w:t>ი</w:t>
      </w:r>
      <w:r w:rsidR="001E0195">
        <w:rPr>
          <w:rFonts w:ascii="Segoe UI" w:hAnsi="Segoe UI" w:cs="Segoe UI"/>
          <w:sz w:val="20"/>
          <w:szCs w:val="20"/>
          <w:lang w:val="ka-GE"/>
        </w:rPr>
        <w:t>ა კვლავ აქტიურდება,</w:t>
      </w:r>
      <w:r w:rsidR="00B537AE">
        <w:rPr>
          <w:rFonts w:ascii="Segoe UI" w:hAnsi="Segoe UI" w:cs="Segoe UI"/>
          <w:sz w:val="20"/>
          <w:szCs w:val="20"/>
          <w:lang w:val="ka-GE"/>
        </w:rPr>
        <w:t xml:space="preserve"> მაგრამ</w:t>
      </w:r>
      <w:r w:rsidR="001E0195">
        <w:rPr>
          <w:rFonts w:ascii="Segoe UI" w:hAnsi="Segoe UI" w:cs="Segoe UI"/>
          <w:sz w:val="20"/>
          <w:szCs w:val="20"/>
          <w:lang w:val="ka-GE"/>
        </w:rPr>
        <w:t xml:space="preserve"> </w:t>
      </w:r>
      <w:r w:rsidR="0034147E">
        <w:rPr>
          <w:rFonts w:ascii="Segoe UI" w:hAnsi="Segoe UI" w:cs="Segoe UI"/>
          <w:sz w:val="20"/>
          <w:szCs w:val="20"/>
        </w:rPr>
        <w:t xml:space="preserve">COVID-19-ის </w:t>
      </w:r>
      <w:r w:rsidR="0034147E">
        <w:rPr>
          <w:rFonts w:ascii="Segoe UI" w:hAnsi="Segoe UI" w:cs="Segoe UI"/>
          <w:sz w:val="20"/>
          <w:szCs w:val="20"/>
          <w:lang w:val="ka-GE"/>
        </w:rPr>
        <w:t>შედეგად გამოწვეული ეფექტები გაცილებით უფრო მდგრადი აღმოჩნ</w:t>
      </w:r>
      <w:r w:rsidR="00914DE1">
        <w:rPr>
          <w:rFonts w:ascii="Segoe UI" w:hAnsi="Segoe UI" w:cs="Segoe UI"/>
          <w:sz w:val="20"/>
          <w:szCs w:val="20"/>
          <w:lang w:val="ka-GE"/>
        </w:rPr>
        <w:t>დ</w:t>
      </w:r>
      <w:r w:rsidR="0034147E">
        <w:rPr>
          <w:rFonts w:ascii="Segoe UI" w:hAnsi="Segoe UI" w:cs="Segoe UI"/>
          <w:sz w:val="20"/>
          <w:szCs w:val="20"/>
          <w:lang w:val="ka-GE"/>
        </w:rPr>
        <w:t>ა</w:t>
      </w:r>
      <w:r w:rsidR="00F17ADE">
        <w:rPr>
          <w:rFonts w:ascii="Segoe UI" w:hAnsi="Segoe UI" w:cs="Segoe UI"/>
          <w:sz w:val="20"/>
          <w:szCs w:val="20"/>
          <w:lang w:val="ka-GE"/>
        </w:rPr>
        <w:t>,</w:t>
      </w:r>
      <w:r w:rsidR="0034147E">
        <w:rPr>
          <w:rFonts w:ascii="Segoe UI" w:hAnsi="Segoe UI" w:cs="Segoe UI"/>
          <w:sz w:val="20"/>
          <w:szCs w:val="20"/>
          <w:lang w:val="ka-GE"/>
        </w:rPr>
        <w:t xml:space="preserve"> ვიდრე მოსალოდნელი იყო. მოსალოდნელია, რომ მოკლევადიანი გადახრები, საშუალოვადიან  ეფექტებზე განგრძობად კვალს </w:t>
      </w:r>
      <w:r w:rsidR="001D14AC">
        <w:rPr>
          <w:rFonts w:ascii="Segoe UI" w:hAnsi="Segoe UI" w:cs="Segoe UI"/>
          <w:sz w:val="20"/>
          <w:szCs w:val="20"/>
          <w:lang w:val="ka-GE"/>
        </w:rPr>
        <w:t>დატოვებს</w:t>
      </w:r>
      <w:r w:rsidR="00B537AE">
        <w:rPr>
          <w:rFonts w:ascii="Segoe UI" w:hAnsi="Segoe UI" w:cs="Segoe UI"/>
          <w:sz w:val="20"/>
          <w:szCs w:val="20"/>
          <w:lang w:val="ka-GE"/>
        </w:rPr>
        <w:t>, ხოლო არსებული გადახრების ინტენსივობის მთავარ განმსაზღვრელ ფაქტორებს ვაქცინ</w:t>
      </w:r>
      <w:r w:rsidR="00D62C7F">
        <w:rPr>
          <w:rFonts w:ascii="Segoe UI" w:hAnsi="Segoe UI" w:cs="Segoe UI"/>
          <w:sz w:val="20"/>
          <w:szCs w:val="20"/>
          <w:lang w:val="ka-GE"/>
        </w:rPr>
        <w:t>აცია</w:t>
      </w:r>
      <w:r w:rsidR="00B537AE">
        <w:rPr>
          <w:rFonts w:ascii="Segoe UI" w:hAnsi="Segoe UI" w:cs="Segoe UI"/>
          <w:sz w:val="20"/>
          <w:szCs w:val="20"/>
          <w:lang w:val="ka-GE"/>
        </w:rPr>
        <w:t xml:space="preserve"> და დროულად </w:t>
      </w:r>
      <w:r w:rsidR="00F17ADE">
        <w:rPr>
          <w:rFonts w:ascii="Segoe UI" w:hAnsi="Segoe UI" w:cs="Segoe UI"/>
          <w:sz w:val="20"/>
          <w:szCs w:val="20"/>
          <w:lang w:val="ka-GE"/>
        </w:rPr>
        <w:t>გატარ</w:t>
      </w:r>
      <w:r w:rsidR="00B537AE">
        <w:rPr>
          <w:rFonts w:ascii="Segoe UI" w:hAnsi="Segoe UI" w:cs="Segoe UI"/>
          <w:sz w:val="20"/>
          <w:szCs w:val="20"/>
          <w:lang w:val="ka-GE"/>
        </w:rPr>
        <w:t>ებული ეფექტიანი პოლიტიკა წარმოადგენს.</w:t>
      </w:r>
      <w:r w:rsidR="0034147E">
        <w:rPr>
          <w:rFonts w:ascii="Segoe UI" w:hAnsi="Segoe UI" w:cs="Segoe UI"/>
          <w:sz w:val="20"/>
          <w:szCs w:val="20"/>
          <w:lang w:val="ka-GE"/>
        </w:rPr>
        <w:t xml:space="preserve"> </w:t>
      </w:r>
    </w:p>
    <w:p w:rsidR="00907962"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 xml:space="preserve">2021 წლის </w:t>
      </w:r>
      <w:r w:rsidR="00B537AE">
        <w:rPr>
          <w:rFonts w:ascii="Segoe UI" w:hAnsi="Segoe UI" w:cs="Segoe UI"/>
          <w:sz w:val="20"/>
          <w:szCs w:val="20"/>
          <w:lang w:val="ka-GE"/>
        </w:rPr>
        <w:t>ოქტომბრის</w:t>
      </w:r>
      <w:r w:rsidR="00B537AE" w:rsidRPr="00195FF9">
        <w:rPr>
          <w:rFonts w:ascii="Segoe UI" w:hAnsi="Segoe UI" w:cs="Segoe UI"/>
          <w:sz w:val="20"/>
          <w:szCs w:val="20"/>
          <w:lang w:val="ka-GE"/>
        </w:rPr>
        <w:t xml:space="preserve"> </w:t>
      </w:r>
      <w:r w:rsidRPr="00195FF9">
        <w:rPr>
          <w:rFonts w:ascii="Segoe UI" w:hAnsi="Segoe UI" w:cs="Segoe UI"/>
          <w:sz w:val="20"/>
          <w:szCs w:val="20"/>
          <w:lang w:val="ka-GE"/>
        </w:rPr>
        <w:t>მსოფლიო ეკონომიკური მიმოხილვის მიხედვით საერთაშორისო სავალუტო ფონდმა, 2020 წელს დაფიქსირებული -3.</w:t>
      </w:r>
      <w:r w:rsidR="00650724">
        <w:rPr>
          <w:rFonts w:ascii="Segoe UI" w:hAnsi="Segoe UI" w:cs="Segoe UI"/>
          <w:sz w:val="20"/>
          <w:szCs w:val="20"/>
        </w:rPr>
        <w:t>1</w:t>
      </w:r>
      <w:r w:rsidRPr="00195FF9">
        <w:rPr>
          <w:rFonts w:ascii="Segoe UI" w:hAnsi="Segoe UI" w:cs="Segoe UI"/>
          <w:sz w:val="20"/>
          <w:szCs w:val="20"/>
          <w:lang w:val="ka-GE"/>
        </w:rPr>
        <w:t xml:space="preserve"> პროცენტიანი ეკონომიკური ზრდის შემდეგ, 2021 წლის გლობალური ეკონომიკური ზრდა </w:t>
      </w:r>
      <w:r w:rsidR="00B537AE">
        <w:rPr>
          <w:rFonts w:ascii="Segoe UI" w:hAnsi="Segoe UI" w:cs="Segoe UI"/>
          <w:sz w:val="20"/>
          <w:szCs w:val="20"/>
          <w:lang w:val="ka-GE"/>
        </w:rPr>
        <w:t>5.9</w:t>
      </w:r>
      <w:r w:rsidR="00907962">
        <w:rPr>
          <w:rFonts w:ascii="Segoe UI" w:hAnsi="Segoe UI" w:cs="Segoe UI"/>
          <w:sz w:val="20"/>
          <w:szCs w:val="20"/>
        </w:rPr>
        <w:t xml:space="preserve"> </w:t>
      </w:r>
      <w:r w:rsidRPr="00195FF9">
        <w:rPr>
          <w:rFonts w:ascii="Segoe UI" w:hAnsi="Segoe UI" w:cs="Segoe UI"/>
          <w:sz w:val="20"/>
          <w:szCs w:val="20"/>
          <w:lang w:val="ka-GE"/>
        </w:rPr>
        <w:t>პროცენტზე შეაფასა, რომელიც დაახლოებით 4.</w:t>
      </w:r>
      <w:r w:rsidR="00D86F34" w:rsidRPr="00195FF9">
        <w:rPr>
          <w:rFonts w:ascii="Segoe UI" w:hAnsi="Segoe UI" w:cs="Segoe UI"/>
          <w:sz w:val="20"/>
          <w:szCs w:val="20"/>
          <w:lang w:val="ka-GE"/>
        </w:rPr>
        <w:t>9</w:t>
      </w:r>
      <w:r w:rsidRPr="00195FF9">
        <w:rPr>
          <w:rFonts w:ascii="Segoe UI" w:hAnsi="Segoe UI" w:cs="Segoe UI"/>
          <w:sz w:val="20"/>
          <w:szCs w:val="20"/>
          <w:lang w:val="ka-GE"/>
        </w:rPr>
        <w:t xml:space="preserve"> პროცენტზე დასტაბილურდება 2022 წლისათვის. </w:t>
      </w:r>
      <w:r w:rsidR="00B537AE">
        <w:rPr>
          <w:rFonts w:ascii="Segoe UI" w:hAnsi="Segoe UI" w:cs="Segoe UI"/>
          <w:sz w:val="20"/>
          <w:szCs w:val="20"/>
          <w:lang w:val="ka-GE"/>
        </w:rPr>
        <w:t xml:space="preserve">არსებული მაჩვენებელი ივლისის შეფასებასთან შედარებით 0.1 პროცენტული პუნქტით შემცირებულია, რაშიც ასახულია განვითარებული ქვეყნებისათვის ზრდის შემცირება, რაც ნაწილობრივ გამოწვეულია მიწოდების </w:t>
      </w:r>
      <w:r w:rsidR="003F4734">
        <w:rPr>
          <w:rFonts w:ascii="Segoe UI" w:hAnsi="Segoe UI" w:cs="Segoe UI"/>
          <w:sz w:val="20"/>
          <w:szCs w:val="20"/>
          <w:lang w:val="ka-GE"/>
        </w:rPr>
        <w:t>არხების</w:t>
      </w:r>
      <w:r w:rsidR="00B537AE">
        <w:rPr>
          <w:rFonts w:ascii="Segoe UI" w:hAnsi="Segoe UI" w:cs="Segoe UI"/>
          <w:sz w:val="20"/>
          <w:szCs w:val="20"/>
          <w:lang w:val="ka-GE"/>
        </w:rPr>
        <w:t xml:space="preserve"> შეფერხებებით და განვითარებად ქვეყნებში ძირითადად პანდემიის დინამიკის გაუარესებით.</w:t>
      </w:r>
      <w:r w:rsidR="005A0716">
        <w:rPr>
          <w:rFonts w:ascii="Segoe UI" w:hAnsi="Segoe UI" w:cs="Segoe UI"/>
          <w:sz w:val="20"/>
          <w:szCs w:val="20"/>
          <w:lang w:val="ka-GE"/>
        </w:rPr>
        <w:t xml:space="preserve"> არსებული ეფექტი ნაწილობრივ კომპენსირებულია უფრო ძლიერი </w:t>
      </w:r>
      <w:r w:rsidR="00BA6708">
        <w:rPr>
          <w:rFonts w:ascii="Segoe UI" w:hAnsi="Segoe UI" w:cs="Segoe UI"/>
          <w:sz w:val="20"/>
          <w:szCs w:val="20"/>
          <w:lang w:val="ka-GE"/>
        </w:rPr>
        <w:t>მიმდინ</w:t>
      </w:r>
      <w:r w:rsidR="005A0716">
        <w:rPr>
          <w:rFonts w:ascii="Segoe UI" w:hAnsi="Segoe UI" w:cs="Segoe UI"/>
          <w:sz w:val="20"/>
          <w:szCs w:val="20"/>
          <w:lang w:val="ka-GE"/>
        </w:rPr>
        <w:t xml:space="preserve">არე განვითარებით, ზოგიერთ ნედლეულის ექპორტიორ ქვეყანაში. დელტა შტამის </w:t>
      </w:r>
      <w:r w:rsidR="00BA6708">
        <w:rPr>
          <w:rFonts w:ascii="Segoe UI" w:hAnsi="Segoe UI" w:cs="Segoe UI"/>
          <w:sz w:val="20"/>
          <w:szCs w:val="20"/>
          <w:lang w:val="ka-GE"/>
        </w:rPr>
        <w:t>განვითარების დაჩქარებამ</w:t>
      </w:r>
      <w:r w:rsidR="005A0716">
        <w:rPr>
          <w:rFonts w:ascii="Segoe UI" w:hAnsi="Segoe UI" w:cs="Segoe UI"/>
          <w:sz w:val="20"/>
          <w:szCs w:val="20"/>
          <w:lang w:val="ka-GE"/>
        </w:rPr>
        <w:t xml:space="preserve"> და ახალი შტამების გაჩენის საშიშროებამ კიდევ უფრო გაზარდა გაურკვევლობა იმის შესახებ რამდენად სწრაფად მოხდება პანდემიის დაძლევა. არსებულ გარემოში პოლი</w:t>
      </w:r>
      <w:r w:rsidR="00D62C7F">
        <w:rPr>
          <w:rFonts w:ascii="Segoe UI" w:hAnsi="Segoe UI" w:cs="Segoe UI"/>
          <w:sz w:val="20"/>
          <w:szCs w:val="20"/>
          <w:lang w:val="ka-GE"/>
        </w:rPr>
        <w:t>ტ</w:t>
      </w:r>
      <w:r w:rsidR="005A0716">
        <w:rPr>
          <w:rFonts w:ascii="Segoe UI" w:hAnsi="Segoe UI" w:cs="Segoe UI"/>
          <w:sz w:val="20"/>
          <w:szCs w:val="20"/>
          <w:lang w:val="ka-GE"/>
        </w:rPr>
        <w:t xml:space="preserve">იკის გატარება გართულებულია, მოქნილობა კი შეზღუდული. </w:t>
      </w:r>
    </w:p>
    <w:p w:rsidR="00B36AF5" w:rsidRPr="00195FF9" w:rsidRDefault="00190D83" w:rsidP="00D86F34">
      <w:pPr>
        <w:spacing w:line="276" w:lineRule="auto"/>
        <w:ind w:firstLine="540"/>
        <w:jc w:val="both"/>
        <w:rPr>
          <w:rFonts w:ascii="Segoe UI" w:hAnsi="Segoe UI" w:cs="Segoe UI"/>
          <w:sz w:val="20"/>
          <w:szCs w:val="20"/>
          <w:lang w:val="ka-GE"/>
        </w:rPr>
      </w:pPr>
      <w:r w:rsidRPr="00195FF9">
        <w:rPr>
          <w:rFonts w:ascii="Segoe UI" w:hAnsi="Segoe UI" w:cs="Segoe UI"/>
          <w:sz w:val="20"/>
          <w:szCs w:val="20"/>
          <w:lang w:val="ka-GE"/>
        </w:rPr>
        <w:t xml:space="preserve">მსოფლიო ბანკის </w:t>
      </w:r>
      <w:r w:rsidR="00D86F34" w:rsidRPr="00195FF9">
        <w:rPr>
          <w:rFonts w:ascii="Segoe UI" w:hAnsi="Segoe UI" w:cs="Segoe UI"/>
          <w:sz w:val="20"/>
          <w:szCs w:val="20"/>
          <w:lang w:val="ka-GE"/>
        </w:rPr>
        <w:t xml:space="preserve">ივნისის შეფასების </w:t>
      </w:r>
      <w:r w:rsidRPr="00195FF9">
        <w:rPr>
          <w:rFonts w:ascii="Segoe UI" w:hAnsi="Segoe UI" w:cs="Segoe UI"/>
          <w:sz w:val="20"/>
          <w:szCs w:val="20"/>
          <w:lang w:val="ka-GE"/>
        </w:rPr>
        <w:t xml:space="preserve">მიხედვით, მსოფლიო ეკონომიკური ზრდა 2021 წლისთვის </w:t>
      </w:r>
      <w:r w:rsidRPr="00195FF9">
        <w:rPr>
          <w:rFonts w:ascii="Segoe UI" w:hAnsi="Segoe UI" w:cs="Segoe UI"/>
          <w:sz w:val="20"/>
          <w:szCs w:val="20"/>
        </w:rPr>
        <w:t>5.6</w:t>
      </w:r>
      <w:r w:rsidRPr="00195FF9">
        <w:rPr>
          <w:rFonts w:ascii="Segoe UI" w:hAnsi="Segoe UI" w:cs="Segoe UI"/>
          <w:sz w:val="20"/>
          <w:szCs w:val="20"/>
          <w:lang w:val="ka-GE"/>
        </w:rPr>
        <w:t xml:space="preserve"> პროცენტამდე </w:t>
      </w:r>
      <w:r w:rsidRPr="00195FF9">
        <w:rPr>
          <w:rFonts w:ascii="Segoe UI" w:hAnsi="Segoe UI" w:cs="Segoe UI"/>
          <w:sz w:val="20"/>
          <w:szCs w:val="20"/>
        </w:rPr>
        <w:t>გაიზრდება, მაგრამ ა</w:t>
      </w:r>
      <w:r w:rsidRPr="00195FF9">
        <w:rPr>
          <w:rFonts w:ascii="Segoe UI" w:hAnsi="Segoe UI" w:cs="Segoe UI"/>
          <w:sz w:val="20"/>
          <w:szCs w:val="20"/>
          <w:lang w:val="ka-GE"/>
        </w:rPr>
        <w:t>ღსანიშნავია, რომ მოცემული ძლიერი ზრდა მნიშვნელოვანი არათანაბრობით ხასიათდება და ძირითადად განპირობებულია ზოგიერთ მნიშვნელოვან ეკონომიკ</w:t>
      </w:r>
      <w:r w:rsidR="00042F5A">
        <w:rPr>
          <w:rFonts w:ascii="Segoe UI" w:hAnsi="Segoe UI" w:cs="Segoe UI"/>
          <w:sz w:val="20"/>
          <w:szCs w:val="20"/>
          <w:lang w:val="ka-GE"/>
        </w:rPr>
        <w:t>ა</w:t>
      </w:r>
      <w:r w:rsidRPr="00195FF9">
        <w:rPr>
          <w:rFonts w:ascii="Segoe UI" w:hAnsi="Segoe UI" w:cs="Segoe UI"/>
          <w:sz w:val="20"/>
          <w:szCs w:val="20"/>
          <w:lang w:val="ka-GE"/>
        </w:rPr>
        <w:t>ში დაფიქსირებული მკვეთრი აღდგენით</w:t>
      </w:r>
      <w:r w:rsidR="00D86F34" w:rsidRPr="00195FF9">
        <w:rPr>
          <w:rFonts w:ascii="Segoe UI" w:hAnsi="Segoe UI" w:cs="Segoe UI"/>
          <w:sz w:val="20"/>
          <w:szCs w:val="20"/>
          <w:lang w:val="ka-GE"/>
        </w:rPr>
        <w:t>, მანამ სანამ განვითარებადი ქვეყნების ეკონომიკური აქტივობა კვლავ შეზღუდულია ვაქცინაციისათვის შექმნილი დაბრკოლებებით.</w:t>
      </w:r>
      <w:r w:rsidRPr="00195FF9">
        <w:rPr>
          <w:rFonts w:ascii="Segoe UI" w:hAnsi="Segoe UI" w:cs="Segoe UI"/>
          <w:sz w:val="20"/>
          <w:szCs w:val="20"/>
        </w:rPr>
        <w:t xml:space="preserve"> </w:t>
      </w:r>
      <w:r w:rsidRPr="00195FF9">
        <w:rPr>
          <w:rFonts w:ascii="Segoe UI" w:hAnsi="Segoe UI" w:cs="Segoe UI"/>
          <w:sz w:val="20"/>
          <w:szCs w:val="20"/>
          <w:lang w:val="ka-GE"/>
        </w:rPr>
        <w:t xml:space="preserve">ხოლო ეკონომიკური განვითარებისა და თანამშრომლობის ორგანიზაციის (OECD) </w:t>
      </w:r>
      <w:r w:rsidR="00D86F34" w:rsidRPr="00195FF9">
        <w:rPr>
          <w:rFonts w:ascii="Segoe UI" w:hAnsi="Segoe UI" w:cs="Segoe UI"/>
          <w:sz w:val="20"/>
          <w:szCs w:val="20"/>
          <w:lang w:val="ka-GE"/>
        </w:rPr>
        <w:t xml:space="preserve">სექტემბრის </w:t>
      </w:r>
      <w:r w:rsidRPr="00195FF9">
        <w:rPr>
          <w:rFonts w:ascii="Segoe UI" w:hAnsi="Segoe UI" w:cs="Segoe UI"/>
          <w:sz w:val="20"/>
          <w:szCs w:val="20"/>
          <w:lang w:val="ka-GE"/>
        </w:rPr>
        <w:t xml:space="preserve">პროგნოზის მიხედვით, მსოფლიო რეალური ეკონომიკური ზრდა </w:t>
      </w:r>
      <w:r w:rsidR="00D86F34" w:rsidRPr="00195FF9">
        <w:rPr>
          <w:rFonts w:ascii="Segoe UI" w:hAnsi="Segoe UI" w:cs="Segoe UI"/>
          <w:sz w:val="20"/>
          <w:szCs w:val="20"/>
          <w:lang w:val="ka-GE"/>
        </w:rPr>
        <w:t xml:space="preserve">2021 წელს </w:t>
      </w:r>
      <w:r w:rsidRPr="00195FF9">
        <w:rPr>
          <w:rFonts w:ascii="Segoe UI" w:hAnsi="Segoe UI" w:cs="Segoe UI"/>
          <w:sz w:val="20"/>
          <w:szCs w:val="20"/>
        </w:rPr>
        <w:t>5.</w:t>
      </w:r>
      <w:r w:rsidR="00D86F34" w:rsidRPr="00195FF9">
        <w:rPr>
          <w:rFonts w:ascii="Segoe UI" w:hAnsi="Segoe UI" w:cs="Segoe UI"/>
          <w:sz w:val="20"/>
          <w:szCs w:val="20"/>
          <w:lang w:val="ka-GE"/>
        </w:rPr>
        <w:t>7</w:t>
      </w:r>
      <w:r w:rsidRPr="00195FF9">
        <w:rPr>
          <w:rFonts w:ascii="Segoe UI" w:hAnsi="Segoe UI" w:cs="Segoe UI"/>
          <w:sz w:val="20"/>
          <w:szCs w:val="20"/>
          <w:lang w:val="ka-GE"/>
        </w:rPr>
        <w:t xml:space="preserve"> პროცენტს</w:t>
      </w:r>
      <w:r w:rsidR="00D86F34" w:rsidRPr="00195FF9">
        <w:rPr>
          <w:rFonts w:ascii="Segoe UI" w:hAnsi="Segoe UI" w:cs="Segoe UI"/>
          <w:sz w:val="20"/>
          <w:szCs w:val="20"/>
          <w:lang w:val="ka-GE"/>
        </w:rPr>
        <w:t>,</w:t>
      </w:r>
      <w:r w:rsidRPr="00195FF9">
        <w:rPr>
          <w:rFonts w:ascii="Segoe UI" w:hAnsi="Segoe UI" w:cs="Segoe UI"/>
          <w:sz w:val="20"/>
          <w:szCs w:val="20"/>
          <w:lang w:val="ka-GE"/>
        </w:rPr>
        <w:t xml:space="preserve"> </w:t>
      </w:r>
      <w:r w:rsidR="00D86F34" w:rsidRPr="00195FF9">
        <w:rPr>
          <w:rFonts w:ascii="Segoe UI" w:hAnsi="Segoe UI" w:cs="Segoe UI"/>
          <w:sz w:val="20"/>
          <w:szCs w:val="20"/>
          <w:lang w:val="ka-GE"/>
        </w:rPr>
        <w:t xml:space="preserve">ხოლო 2022 წელს 4.5 პროცენტს </w:t>
      </w:r>
      <w:r w:rsidRPr="00195FF9">
        <w:rPr>
          <w:rFonts w:ascii="Segoe UI" w:hAnsi="Segoe UI" w:cs="Segoe UI"/>
          <w:sz w:val="20"/>
          <w:szCs w:val="20"/>
          <w:lang w:val="ka-GE"/>
        </w:rPr>
        <w:t>გაუტოლდება</w:t>
      </w:r>
      <w:r w:rsidR="00D86F34" w:rsidRPr="00195FF9">
        <w:rPr>
          <w:rFonts w:ascii="Segoe UI" w:hAnsi="Segoe UI" w:cs="Segoe UI"/>
          <w:sz w:val="20"/>
          <w:szCs w:val="20"/>
          <w:lang w:val="ka-GE"/>
        </w:rPr>
        <w:t>.</w:t>
      </w:r>
      <w:r w:rsidRPr="00195FF9">
        <w:rPr>
          <w:rFonts w:ascii="Segoe UI" w:hAnsi="Segoe UI" w:cs="Segoe UI"/>
          <w:sz w:val="20"/>
          <w:szCs w:val="20"/>
          <w:lang w:val="ka-GE"/>
        </w:rPr>
        <w:t xml:space="preserve"> </w:t>
      </w:r>
      <w:r w:rsidR="00D86F34" w:rsidRPr="00195FF9">
        <w:rPr>
          <w:rFonts w:ascii="Segoe UI" w:hAnsi="Segoe UI" w:cs="Segoe UI"/>
          <w:sz w:val="20"/>
          <w:szCs w:val="20"/>
          <w:lang w:val="ka-GE"/>
        </w:rPr>
        <w:t xml:space="preserve">აღნიშნულ პროგნოზში გათვალისწინებულია ევროპის ქვეყნებში დაფიქსირებული ძლიერი აღდგენა, აშშ-ში მოსალოდნელი დამატებითი ფისკალური სტიმულირების პაკეტები და განვითარებულ ქვეყნებში შინამეურნეობების დანაზოგების შემცირება, რაც დამატებით შეუწყობს ხელს ეკონომიკურ ზრდას.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7"/>
      </w:tblGrid>
      <w:tr w:rsidR="00190D83" w:rsidTr="00907962">
        <w:tc>
          <w:tcPr>
            <w:tcW w:w="10437" w:type="dxa"/>
          </w:tcPr>
          <w:p w:rsidR="00190D83" w:rsidRPr="00195FF9" w:rsidRDefault="00190D83" w:rsidP="00190D83">
            <w:pPr>
              <w:pStyle w:val="NoSpacing"/>
              <w:rPr>
                <w:rFonts w:ascii="Segoe UI" w:eastAsia="+mn-ea" w:hAnsi="Segoe UI" w:cs="Segoe UI"/>
                <w:i/>
                <w:iCs/>
                <w:color w:val="000000"/>
                <w:kern w:val="24"/>
              </w:rPr>
            </w:pPr>
            <w:r w:rsidRPr="00195FF9">
              <w:rPr>
                <w:rFonts w:ascii="Segoe UI" w:hAnsi="Segoe UI" w:cs="Segoe UI"/>
              </w:rPr>
              <w:t>დიაგრამა 1</w:t>
            </w:r>
            <w:r w:rsidRPr="00195FF9">
              <w:rPr>
                <w:rFonts w:ascii="Segoe UI" w:hAnsi="Segoe UI" w:cs="Segoe UI"/>
                <w:noProof/>
              </w:rPr>
              <w:t>:</w:t>
            </w:r>
            <w:r w:rsidRPr="00195FF9">
              <w:rPr>
                <w:rFonts w:ascii="Segoe UI" w:hAnsi="Segoe UI" w:cs="Segoe UI"/>
                <w:lang w:val="ka-GE"/>
              </w:rPr>
              <w:t xml:space="preserve"> განვითარებული და განვითარებადი ქვეყნების ეკონომიკური ზრდის პროგნოზი 2020-2021 წლებისთვის</w:t>
            </w:r>
          </w:p>
        </w:tc>
      </w:tr>
      <w:tr w:rsidR="00650724" w:rsidTr="00907962">
        <w:tc>
          <w:tcPr>
            <w:tcW w:w="10437" w:type="dxa"/>
          </w:tcPr>
          <w:p w:rsidR="00650724" w:rsidRDefault="00650724" w:rsidP="00190D83">
            <w:pPr>
              <w:jc w:val="both"/>
              <w:rPr>
                <w:noProof/>
              </w:rPr>
            </w:pPr>
            <w:r>
              <w:rPr>
                <w:noProof/>
              </w:rPr>
              <w:drawing>
                <wp:inline distT="0" distB="0" distL="0" distR="0" wp14:anchorId="2E697882" wp14:editId="0FD77957">
                  <wp:extent cx="6516000" cy="2844000"/>
                  <wp:effectExtent l="0" t="0" r="1841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E523DA" w:rsidTr="00907962">
        <w:tc>
          <w:tcPr>
            <w:tcW w:w="10437" w:type="dxa"/>
          </w:tcPr>
          <w:p w:rsidR="00E523DA" w:rsidRDefault="00E523DA" w:rsidP="00190D83">
            <w:pPr>
              <w:jc w:val="both"/>
              <w:rPr>
                <w:noProof/>
              </w:rPr>
            </w:pPr>
          </w:p>
        </w:tc>
      </w:tr>
      <w:tr w:rsidR="00190D83" w:rsidTr="00907962">
        <w:tc>
          <w:tcPr>
            <w:tcW w:w="10437" w:type="dxa"/>
          </w:tcPr>
          <w:p w:rsidR="00190D83" w:rsidRPr="008A444E" w:rsidRDefault="00190D83" w:rsidP="00650724">
            <w:pPr>
              <w:pStyle w:val="NoSpacing"/>
              <w:rPr>
                <w:rFonts w:ascii="Segoe UI" w:hAnsi="Segoe UI" w:cs="Segoe UI"/>
                <w:i/>
                <w:iCs/>
                <w:noProof/>
                <w:sz w:val="14"/>
                <w:lang w:val="ka-GE"/>
              </w:rPr>
            </w:pPr>
            <w:r w:rsidRPr="008A444E">
              <w:rPr>
                <w:rFonts w:ascii="Segoe UI" w:hAnsi="Segoe UI" w:cs="Segoe UI"/>
                <w:sz w:val="14"/>
                <w:lang w:val="ka-GE"/>
              </w:rPr>
              <w:t xml:space="preserve">წყარო: </w:t>
            </w:r>
            <w:r w:rsidRPr="008A444E">
              <w:rPr>
                <w:rFonts w:ascii="Segoe UI" w:hAnsi="Segoe UI" w:cs="Segoe UI"/>
                <w:sz w:val="14"/>
              </w:rPr>
              <w:t xml:space="preserve">IMF, </w:t>
            </w:r>
            <w:r w:rsidR="00D86F34" w:rsidRPr="008A444E">
              <w:rPr>
                <w:rFonts w:ascii="Segoe UI" w:hAnsi="Segoe UI" w:cs="Segoe UI"/>
                <w:sz w:val="14"/>
                <w:lang w:val="ka-GE"/>
              </w:rPr>
              <w:t xml:space="preserve"> </w:t>
            </w:r>
            <w:r w:rsidR="00650724">
              <w:rPr>
                <w:rFonts w:ascii="Segoe UI" w:hAnsi="Segoe UI" w:cs="Segoe UI"/>
                <w:sz w:val="14"/>
                <w:lang w:val="ka-GE"/>
              </w:rPr>
              <w:t>ოქრომბერი</w:t>
            </w:r>
            <w:r w:rsidR="00650724" w:rsidRPr="008A444E">
              <w:rPr>
                <w:rFonts w:ascii="Segoe UI" w:hAnsi="Segoe UI" w:cs="Segoe UI"/>
                <w:sz w:val="14"/>
                <w:lang w:val="ka-GE"/>
              </w:rPr>
              <w:t xml:space="preserve"> </w:t>
            </w:r>
            <w:r w:rsidR="00D86F34" w:rsidRPr="008A444E">
              <w:rPr>
                <w:rFonts w:ascii="Segoe UI" w:hAnsi="Segoe UI" w:cs="Segoe UI"/>
                <w:sz w:val="14"/>
                <w:lang w:val="ka-GE"/>
              </w:rPr>
              <w:t>2021</w:t>
            </w:r>
          </w:p>
        </w:tc>
      </w:tr>
    </w:tbl>
    <w:p w:rsidR="00190D83" w:rsidRDefault="00190D83" w:rsidP="00190D83">
      <w:pPr>
        <w:jc w:val="both"/>
        <w:rPr>
          <w:rFonts w:ascii="Sylfaen" w:hAnsi="Sylfaen" w:cs="Segoe UI"/>
          <w:sz w:val="20"/>
          <w:szCs w:val="20"/>
        </w:rPr>
      </w:pPr>
    </w:p>
    <w:p w:rsidR="00190D83" w:rsidRPr="00195FF9" w:rsidRDefault="00190D83" w:rsidP="00195FF9">
      <w:pPr>
        <w:ind w:firstLine="360"/>
        <w:jc w:val="both"/>
        <w:rPr>
          <w:rFonts w:ascii="Segoe UI" w:hAnsi="Segoe UI" w:cs="Segoe UI"/>
          <w:sz w:val="20"/>
          <w:szCs w:val="20"/>
          <w:lang w:val="ka-GE"/>
        </w:rPr>
      </w:pPr>
      <w:r w:rsidRPr="00195FF9">
        <w:rPr>
          <w:rFonts w:ascii="Segoe UI" w:hAnsi="Segoe UI" w:cs="Segoe UI"/>
          <w:sz w:val="20"/>
          <w:szCs w:val="20"/>
        </w:rPr>
        <w:t>მნიშვნელოვანია, რომ სხვადასხვა ქვეყნების ეკონომიკურ ზრდაზე</w:t>
      </w:r>
      <w:r w:rsidRPr="00195FF9">
        <w:rPr>
          <w:rFonts w:ascii="Segoe UI" w:hAnsi="Segoe UI" w:cs="Segoe UI"/>
          <w:sz w:val="20"/>
          <w:szCs w:val="20"/>
          <w:lang w:val="ka-GE"/>
        </w:rPr>
        <w:t xml:space="preserve"> პანდემიის</w:t>
      </w:r>
      <w:r w:rsidRPr="00195FF9">
        <w:rPr>
          <w:rFonts w:ascii="Segoe UI" w:hAnsi="Segoe UI" w:cs="Segoe UI"/>
          <w:sz w:val="20"/>
          <w:szCs w:val="20"/>
        </w:rPr>
        <w:t xml:space="preserve"> გავლენა არ არის ერთგვაროვანი. მოწინავე ეკონომიკის მქონე ქვეყნებში,</w:t>
      </w:r>
      <w:r w:rsidRPr="00195FF9">
        <w:rPr>
          <w:rFonts w:ascii="Segoe UI" w:hAnsi="Segoe UI" w:cs="Segoe UI"/>
          <w:sz w:val="20"/>
          <w:szCs w:val="20"/>
          <w:lang w:val="ka-GE"/>
        </w:rPr>
        <w:t xml:space="preserve"> </w:t>
      </w:r>
      <w:r w:rsidRPr="00195FF9">
        <w:rPr>
          <w:rFonts w:ascii="Segoe UI" w:hAnsi="Segoe UI" w:cs="Segoe UI"/>
          <w:sz w:val="20"/>
          <w:szCs w:val="20"/>
        </w:rPr>
        <w:t>სადაც გლობალიზაციისა და მომსახურების დარგების წილი მაღალია, უფრო მაღალი ეკონომიკური კლება დაფიქსირდა ვიდრე განვითარებად ქვეყნებში.</w:t>
      </w:r>
      <w:r w:rsidRPr="00195FF9">
        <w:rPr>
          <w:rFonts w:ascii="Segoe UI" w:hAnsi="Segoe UI" w:cs="Segoe UI"/>
          <w:sz w:val="20"/>
          <w:szCs w:val="20"/>
          <w:lang w:val="ka-GE"/>
        </w:rPr>
        <w:t xml:space="preserve"> </w:t>
      </w:r>
      <w:r w:rsidRPr="00195FF9">
        <w:rPr>
          <w:rFonts w:ascii="Segoe UI" w:hAnsi="Segoe UI" w:cs="Segoe UI"/>
          <w:sz w:val="20"/>
          <w:szCs w:val="20"/>
        </w:rPr>
        <w:t xml:space="preserve"> სსფ-ის განახლებული პროგნოზით მოწინავე ეკონომიკის ქვეყნების ეკონომიკური ზრდის პროგნოზი </w:t>
      </w:r>
      <w:r w:rsidRPr="00195FF9">
        <w:rPr>
          <w:rFonts w:ascii="Segoe UI" w:hAnsi="Segoe UI" w:cs="Segoe UI"/>
          <w:sz w:val="20"/>
          <w:szCs w:val="20"/>
          <w:lang w:val="ka-GE"/>
        </w:rPr>
        <w:t>5.</w:t>
      </w:r>
      <w:r w:rsidR="00BA6708">
        <w:rPr>
          <w:rFonts w:ascii="Segoe UI" w:hAnsi="Segoe UI" w:cs="Segoe UI"/>
          <w:sz w:val="20"/>
          <w:szCs w:val="20"/>
          <w:lang w:val="ka-GE"/>
        </w:rPr>
        <w:t>2</w:t>
      </w:r>
      <w:r w:rsidRPr="00195FF9">
        <w:rPr>
          <w:rFonts w:ascii="Segoe UI" w:hAnsi="Segoe UI" w:cs="Segoe UI"/>
          <w:sz w:val="20"/>
          <w:szCs w:val="20"/>
        </w:rPr>
        <w:t>, ხოლო განვითარებადი ქვეყნების 6.</w:t>
      </w:r>
      <w:r w:rsidR="00BA6708">
        <w:rPr>
          <w:rFonts w:ascii="Segoe UI" w:hAnsi="Segoe UI" w:cs="Segoe UI"/>
          <w:sz w:val="20"/>
          <w:szCs w:val="20"/>
          <w:lang w:val="ka-GE"/>
        </w:rPr>
        <w:t>4</w:t>
      </w:r>
      <w:r w:rsidRPr="00195FF9">
        <w:rPr>
          <w:rFonts w:ascii="Segoe UI" w:hAnsi="Segoe UI" w:cs="Segoe UI"/>
          <w:sz w:val="20"/>
          <w:szCs w:val="20"/>
        </w:rPr>
        <w:t xml:space="preserve"> პროცენტზეა მოსალოდნელი</w:t>
      </w:r>
      <w:r w:rsidRPr="00195FF9">
        <w:rPr>
          <w:rFonts w:ascii="Segoe UI" w:hAnsi="Segoe UI" w:cs="Segoe UI"/>
          <w:sz w:val="20"/>
          <w:szCs w:val="20"/>
          <w:lang w:val="ka-GE"/>
        </w:rPr>
        <w:t xml:space="preserve"> 2021 წლისათვის</w:t>
      </w:r>
      <w:r w:rsidRPr="00195FF9">
        <w:rPr>
          <w:rFonts w:ascii="Segoe UI" w:hAnsi="Segoe UI" w:cs="Segoe UI"/>
          <w:sz w:val="20"/>
          <w:szCs w:val="20"/>
        </w:rPr>
        <w:t>.</w:t>
      </w:r>
    </w:p>
    <w:p w:rsidR="000B4EB7" w:rsidRPr="000B4EB7" w:rsidRDefault="000B4EB7" w:rsidP="000B4EB7">
      <w:pPr>
        <w:rPr>
          <w:lang w:val="ka-GE"/>
        </w:rPr>
      </w:pPr>
    </w:p>
    <w:p w:rsidR="000B4EB7" w:rsidRPr="00531C8D" w:rsidRDefault="000B4EB7" w:rsidP="000B4EB7">
      <w:pPr>
        <w:pStyle w:val="Heading1"/>
        <w:numPr>
          <w:ilvl w:val="0"/>
          <w:numId w:val="4"/>
        </w:numPr>
        <w:ind w:left="360" w:hanging="360"/>
        <w:rPr>
          <w:b/>
          <w:bCs w:val="0"/>
          <w:sz w:val="28"/>
          <w:szCs w:val="28"/>
        </w:rPr>
      </w:pPr>
      <w:r w:rsidRPr="00531C8D">
        <w:rPr>
          <w:b/>
          <w:bCs w:val="0"/>
          <w:sz w:val="28"/>
          <w:szCs w:val="28"/>
        </w:rPr>
        <w:t>ეკონომიკური მიმოხილვა</w:t>
      </w:r>
    </w:p>
    <w:p w:rsidR="00D73B98" w:rsidRPr="00850E6B" w:rsidRDefault="00D73B98" w:rsidP="00850E6B">
      <w:pPr>
        <w:spacing w:line="276" w:lineRule="auto"/>
        <w:ind w:firstLine="360"/>
        <w:jc w:val="both"/>
        <w:rPr>
          <w:rFonts w:ascii="Segoe UI" w:hAnsi="Segoe UI" w:cs="Segoe UI"/>
          <w:sz w:val="20"/>
          <w:szCs w:val="20"/>
        </w:rPr>
      </w:pPr>
      <w:r w:rsidRPr="00850E6B">
        <w:rPr>
          <w:rFonts w:ascii="Segoe UI" w:hAnsi="Segoe UI" w:cs="Segoe UI"/>
          <w:sz w:val="20"/>
          <w:szCs w:val="20"/>
          <w:lang w:val="ka-GE"/>
        </w:rPr>
        <w:t xml:space="preserve">როგორც მსოფლიოს სხვა ქვეყნები, საქართველომაც ასევე განიცადა </w:t>
      </w:r>
      <w:r w:rsidRPr="00850E6B">
        <w:rPr>
          <w:rFonts w:ascii="Segoe UI" w:hAnsi="Segoe UI" w:cs="Segoe UI"/>
          <w:sz w:val="20"/>
          <w:szCs w:val="20"/>
        </w:rPr>
        <w:t xml:space="preserve">COVID-19 </w:t>
      </w:r>
      <w:r w:rsidRPr="00850E6B">
        <w:rPr>
          <w:rFonts w:ascii="Segoe UI" w:hAnsi="Segoe UI" w:cs="Segoe UI"/>
          <w:sz w:val="20"/>
          <w:szCs w:val="20"/>
          <w:lang w:val="ka-GE"/>
        </w:rPr>
        <w:t>პანდემიით გამოწვეული ეკონომიკური რეცესია. 2020 წლის მონაცემებით, ეკონომიკურმა ზრდამ შეადგინა -6.2 პროცენტი. 2020 წლის ეკონომიკურ ზრდაში ყველაზე დიდი გავლენა იქონია ტურიზმთან დაკავშირებულმა სექტორმა, რასაც საქართველოს ეკონომიკის 10-12 პროცენტი უჭირავს. წლების განმავლობაში საქართველოს ეკონომიკაში ტურიზმის წილი მაღალი ტემპებით იზრდებოდა, რამაც ეკონომიკა მნიშვნელოვნად დამოკიდებული გახადა ამ სექტორზე. ტურიზმის სექტორმა პანდემიის შედეგად დიდი დარტყმა მიიღო და</w:t>
      </w:r>
      <w:r w:rsidR="00042F5A">
        <w:rPr>
          <w:rFonts w:ascii="Segoe UI" w:hAnsi="Segoe UI" w:cs="Segoe UI"/>
          <w:sz w:val="20"/>
          <w:szCs w:val="20"/>
          <w:lang w:val="ka-GE"/>
        </w:rPr>
        <w:t xml:space="preserve"> 2020 წლის მარტის თვიდან</w:t>
      </w:r>
      <w:r w:rsidRPr="00850E6B">
        <w:rPr>
          <w:rFonts w:ascii="Segoe UI" w:hAnsi="Segoe UI" w:cs="Segoe UI"/>
          <w:sz w:val="20"/>
          <w:szCs w:val="20"/>
          <w:lang w:val="ka-GE"/>
        </w:rPr>
        <w:t xml:space="preserve"> თითქმის 100 პროცენტით შემცირდა.</w:t>
      </w:r>
      <w:r w:rsidR="00E523DA" w:rsidRPr="00850E6B">
        <w:rPr>
          <w:rFonts w:ascii="Segoe UI" w:hAnsi="Segoe UI" w:cs="Segoe UI"/>
          <w:sz w:val="20"/>
          <w:szCs w:val="20"/>
          <w:lang w:val="ka-GE"/>
        </w:rPr>
        <w:t xml:space="preserve"> 2021 წლის დასაწყისში COVID რეგულაციების ფონზე პირველი კვარტალის ეკონომიკურმა ზრდამ -4.5 პროცენტი შეადგინა.</w:t>
      </w:r>
      <w:r w:rsidRPr="00850E6B">
        <w:rPr>
          <w:rFonts w:ascii="Segoe UI" w:hAnsi="Segoe UI" w:cs="Segoe UI"/>
          <w:sz w:val="20"/>
          <w:szCs w:val="20"/>
          <w:lang w:val="ka-GE"/>
        </w:rPr>
        <w:t xml:space="preserve"> </w:t>
      </w:r>
      <w:r w:rsidR="00595BD5">
        <w:rPr>
          <w:rFonts w:ascii="Segoe UI" w:hAnsi="Segoe UI" w:cs="Segoe UI"/>
          <w:sz w:val="20"/>
          <w:szCs w:val="20"/>
          <w:lang w:val="ka-GE"/>
        </w:rPr>
        <w:t>მიუხედავად ამისა</w:t>
      </w:r>
      <w:r w:rsidR="00E523DA" w:rsidRPr="00850E6B">
        <w:rPr>
          <w:rFonts w:ascii="Segoe UI" w:hAnsi="Segoe UI" w:cs="Segoe UI"/>
          <w:sz w:val="20"/>
          <w:szCs w:val="20"/>
          <w:lang w:val="ka-GE"/>
        </w:rPr>
        <w:t>, 2021 წლის მეორე კვარტლის დასაწყისიდან ეკონომიკამ სწრაფი აღდგენა დაიწყო, რამაც წინასწარი მონაცემებით ეკონომიკის 29.9 პროცენტით გაზრდა გამოიწვია</w:t>
      </w:r>
      <w:r w:rsidR="007E4E33">
        <w:rPr>
          <w:rFonts w:ascii="Segoe UI" w:hAnsi="Segoe UI" w:cs="Segoe UI"/>
          <w:sz w:val="20"/>
          <w:szCs w:val="20"/>
          <w:lang w:val="ka-GE"/>
        </w:rPr>
        <w:t>.</w:t>
      </w:r>
      <w:r w:rsidR="00E523DA" w:rsidRPr="00850E6B">
        <w:rPr>
          <w:rFonts w:ascii="Segoe UI" w:hAnsi="Segoe UI" w:cs="Segoe UI"/>
          <w:sz w:val="20"/>
          <w:szCs w:val="20"/>
          <w:lang w:val="ka-GE"/>
        </w:rPr>
        <w:t xml:space="preserve"> აღნიშნული ეკონომიკური ზრდის ტენდენცია დასტაბილურდა, მაგრამ მაინც მაღალ</w:t>
      </w:r>
      <w:r w:rsidR="00042F5A">
        <w:rPr>
          <w:rFonts w:ascii="Segoe UI" w:hAnsi="Segoe UI" w:cs="Segoe UI"/>
          <w:sz w:val="20"/>
          <w:szCs w:val="20"/>
          <w:lang w:val="ka-GE"/>
        </w:rPr>
        <w:t>ი</w:t>
      </w:r>
      <w:r w:rsidR="00E523DA" w:rsidRPr="00850E6B">
        <w:rPr>
          <w:rFonts w:ascii="Segoe UI" w:hAnsi="Segoe UI" w:cs="Segoe UI"/>
          <w:sz w:val="20"/>
          <w:szCs w:val="20"/>
          <w:lang w:val="ka-GE"/>
        </w:rPr>
        <w:t xml:space="preserve"> ნიშნული შეინარჩუნა </w:t>
      </w:r>
      <w:r w:rsidR="00595BD5">
        <w:rPr>
          <w:rFonts w:ascii="Segoe UI" w:hAnsi="Segoe UI" w:cs="Segoe UI"/>
          <w:sz w:val="20"/>
          <w:szCs w:val="20"/>
          <w:lang w:val="ka-GE"/>
        </w:rPr>
        <w:t xml:space="preserve">და </w:t>
      </w:r>
      <w:r w:rsidR="00DE5CC1">
        <w:rPr>
          <w:rFonts w:ascii="Segoe UI" w:hAnsi="Segoe UI" w:cs="Segoe UI"/>
          <w:sz w:val="20"/>
          <w:szCs w:val="20"/>
          <w:lang w:val="ka-GE"/>
        </w:rPr>
        <w:t>მესამე კვარტალში 9.0 პროცენტი</w:t>
      </w:r>
      <w:r w:rsidR="00DE5CC1" w:rsidRPr="00850E6B">
        <w:rPr>
          <w:rFonts w:ascii="Segoe UI" w:hAnsi="Segoe UI" w:cs="Segoe UI"/>
          <w:sz w:val="20"/>
          <w:szCs w:val="20"/>
          <w:lang w:val="ka-GE"/>
        </w:rPr>
        <w:t xml:space="preserve"> </w:t>
      </w:r>
      <w:r w:rsidR="00E523DA" w:rsidRPr="00850E6B">
        <w:rPr>
          <w:rFonts w:ascii="Segoe UI" w:hAnsi="Segoe UI" w:cs="Segoe UI"/>
          <w:sz w:val="20"/>
          <w:szCs w:val="20"/>
          <w:lang w:val="ka-GE"/>
        </w:rPr>
        <w:t>შეადგინა</w:t>
      </w:r>
      <w:r w:rsidR="00E23440">
        <w:rPr>
          <w:rFonts w:ascii="Segoe UI" w:hAnsi="Segoe UI" w:cs="Segoe UI"/>
          <w:sz w:val="20"/>
          <w:szCs w:val="20"/>
          <w:lang w:val="ka-GE"/>
        </w:rPr>
        <w:t xml:space="preserve">, ხოლო </w:t>
      </w:r>
      <w:r w:rsidR="00DE5CC1">
        <w:rPr>
          <w:rFonts w:ascii="Segoe UI" w:hAnsi="Segoe UI" w:cs="Segoe UI"/>
          <w:sz w:val="20"/>
          <w:szCs w:val="20"/>
          <w:lang w:val="ka-GE"/>
        </w:rPr>
        <w:t xml:space="preserve">პირველი სამი კვარტლის </w:t>
      </w:r>
      <w:r w:rsidR="00914DE1">
        <w:rPr>
          <w:rFonts w:ascii="Segoe UI" w:hAnsi="Segoe UI" w:cs="Segoe UI"/>
          <w:sz w:val="20"/>
          <w:szCs w:val="20"/>
          <w:lang w:val="ka-GE"/>
        </w:rPr>
        <w:t>საშუალო</w:t>
      </w:r>
      <w:r w:rsidR="00DE5CC1">
        <w:rPr>
          <w:rFonts w:ascii="Segoe UI" w:hAnsi="Segoe UI" w:cs="Segoe UI"/>
          <w:sz w:val="20"/>
          <w:szCs w:val="20"/>
          <w:lang w:val="ka-GE"/>
        </w:rPr>
        <w:t xml:space="preserve"> ეკონომიკურმა ზრდამ 11.3 პროცენტი შეადგინა</w:t>
      </w:r>
      <w:r w:rsidR="00E23440">
        <w:rPr>
          <w:rFonts w:ascii="Segoe UI" w:hAnsi="Segoe UI" w:cs="Segoe UI"/>
          <w:sz w:val="20"/>
          <w:szCs w:val="20"/>
          <w:lang w:val="ka-GE"/>
        </w:rPr>
        <w:t xml:space="preserve">. </w:t>
      </w:r>
      <w:r w:rsidRPr="00850E6B">
        <w:rPr>
          <w:rFonts w:ascii="Segoe UI" w:hAnsi="Segoe UI" w:cs="Segoe UI"/>
          <w:sz w:val="20"/>
          <w:szCs w:val="20"/>
          <w:lang w:val="ka-GE"/>
        </w:rPr>
        <w:t xml:space="preserve">აღნიშნული დადებითი ტენდენცია, მსოფლიო ეკონომიკის გაჯანსაღება, ტურიზმის </w:t>
      </w:r>
      <w:r w:rsidR="00E523DA" w:rsidRPr="00850E6B">
        <w:rPr>
          <w:rFonts w:ascii="Segoe UI" w:hAnsi="Segoe UI" w:cs="Segoe UI"/>
          <w:sz w:val="20"/>
          <w:szCs w:val="20"/>
          <w:lang w:val="ka-GE"/>
        </w:rPr>
        <w:t xml:space="preserve">სტაბილური </w:t>
      </w:r>
      <w:r w:rsidRPr="00850E6B">
        <w:rPr>
          <w:rFonts w:ascii="Segoe UI" w:hAnsi="Segoe UI" w:cs="Segoe UI"/>
          <w:sz w:val="20"/>
          <w:szCs w:val="20"/>
          <w:lang w:val="ka-GE"/>
        </w:rPr>
        <w:t xml:space="preserve">აღდგენა, ექსპორტის და ფულადი გზავნილების მნიშვნელოვანი ზრდა და ვაქცინაციის </w:t>
      </w:r>
      <w:r w:rsidR="00E523DA" w:rsidRPr="00850E6B">
        <w:rPr>
          <w:rFonts w:ascii="Segoe UI" w:hAnsi="Segoe UI" w:cs="Segoe UI"/>
          <w:sz w:val="20"/>
          <w:szCs w:val="20"/>
          <w:lang w:val="ka-GE"/>
        </w:rPr>
        <w:t>პროცესი</w:t>
      </w:r>
      <w:r w:rsidR="00E23440">
        <w:rPr>
          <w:rFonts w:ascii="Segoe UI" w:hAnsi="Segoe UI" w:cs="Segoe UI"/>
          <w:sz w:val="20"/>
          <w:szCs w:val="20"/>
          <w:lang w:val="ka-GE"/>
        </w:rPr>
        <w:t>,</w:t>
      </w:r>
      <w:r w:rsidR="00595BD5">
        <w:rPr>
          <w:rFonts w:ascii="Segoe UI" w:hAnsi="Segoe UI" w:cs="Segoe UI"/>
          <w:sz w:val="20"/>
          <w:szCs w:val="20"/>
          <w:lang w:val="ka-GE"/>
        </w:rPr>
        <w:t xml:space="preserve"> </w:t>
      </w:r>
      <w:r w:rsidRPr="00850E6B">
        <w:rPr>
          <w:rFonts w:ascii="Segoe UI" w:hAnsi="Segoe UI" w:cs="Segoe UI"/>
          <w:sz w:val="20"/>
          <w:szCs w:val="20"/>
          <w:lang w:val="ka-GE"/>
        </w:rPr>
        <w:t xml:space="preserve">საბაზო ეფექტთან ერთად ქმნის მაღალი ზრდის მოლოდინს. კერძოდ, საბაზო სცენარის მიხედვით, ეკონომიკური ზრდის პროგნოზი 2021 </w:t>
      </w:r>
      <w:r w:rsidR="00D369DD">
        <w:rPr>
          <w:rFonts w:ascii="Segoe UI" w:hAnsi="Segoe UI" w:cs="Segoe UI"/>
          <w:sz w:val="20"/>
          <w:szCs w:val="20"/>
          <w:lang w:val="ka-GE"/>
        </w:rPr>
        <w:t>წელს</w:t>
      </w:r>
      <w:r w:rsidRPr="00850E6B">
        <w:rPr>
          <w:rFonts w:ascii="Segoe UI" w:hAnsi="Segoe UI" w:cs="Segoe UI"/>
          <w:sz w:val="20"/>
          <w:szCs w:val="20"/>
          <w:lang w:val="ka-GE"/>
        </w:rPr>
        <w:t xml:space="preserve"> </w:t>
      </w:r>
      <w:r w:rsidR="00914DE1">
        <w:rPr>
          <w:rFonts w:ascii="Segoe UI" w:hAnsi="Segoe UI" w:cs="Segoe UI"/>
          <w:sz w:val="20"/>
          <w:szCs w:val="20"/>
          <w:lang w:val="ka-GE"/>
        </w:rPr>
        <w:t>10</w:t>
      </w:r>
      <w:r w:rsidRPr="00850E6B">
        <w:rPr>
          <w:rFonts w:ascii="Segoe UI" w:hAnsi="Segoe UI" w:cs="Segoe UI"/>
          <w:sz w:val="20"/>
          <w:szCs w:val="20"/>
          <w:lang w:val="ka-GE"/>
        </w:rPr>
        <w:t xml:space="preserve"> პროცენტს</w:t>
      </w:r>
      <w:r w:rsidR="00FC02D6" w:rsidRPr="00850E6B">
        <w:rPr>
          <w:rFonts w:ascii="Segoe UI" w:hAnsi="Segoe UI" w:cs="Segoe UI"/>
          <w:sz w:val="20"/>
          <w:szCs w:val="20"/>
          <w:lang w:val="ka-GE"/>
        </w:rPr>
        <w:t xml:space="preserve"> შეადგენს</w:t>
      </w:r>
      <w:r w:rsidR="00595BD5">
        <w:rPr>
          <w:rFonts w:ascii="Segoe UI" w:hAnsi="Segoe UI" w:cs="Segoe UI"/>
          <w:sz w:val="20"/>
          <w:szCs w:val="20"/>
          <w:lang w:val="ka-GE"/>
        </w:rPr>
        <w:t xml:space="preserve">. </w:t>
      </w:r>
    </w:p>
    <w:p w:rsidR="00D73B98" w:rsidRPr="00850E6B" w:rsidRDefault="00D73B98" w:rsidP="00D73B98">
      <w:pPr>
        <w:spacing w:before="240" w:after="0"/>
        <w:jc w:val="both"/>
        <w:rPr>
          <w:rFonts w:ascii="Segoe UI" w:hAnsi="Segoe UI" w:cs="Segoe UI"/>
          <w:sz w:val="20"/>
          <w:szCs w:val="20"/>
          <w:lang w:val="ka-GE"/>
        </w:rPr>
      </w:pPr>
      <w:r w:rsidRPr="00850E6B">
        <w:rPr>
          <w:rFonts w:ascii="Segoe UI" w:hAnsi="Segoe UI" w:cs="Segoe UI"/>
          <w:sz w:val="20"/>
          <w:szCs w:val="20"/>
          <w:lang w:val="ka-GE"/>
        </w:rPr>
        <w:t xml:space="preserve">     </w:t>
      </w:r>
      <w:r w:rsidRPr="00850E6B">
        <w:rPr>
          <w:rFonts w:ascii="Segoe UI" w:hAnsi="Segoe UI" w:cs="Segoe UI"/>
          <w:sz w:val="20"/>
          <w:szCs w:val="20"/>
          <w:lang w:val="ka-GE"/>
        </w:rPr>
        <w:tab/>
        <w:t>საქართველოს ეკონომიკისთვის პანდემიამ ერთი მხრივ იმოქმედა ერთობლივი მოთხოვნის მხარეს ტურიტული მომსახურების ექსპორტის კლების, ხოლო მეორე მხრივ, მობილობის შემცირების გამო შეაფერხა სამომხმარებლო პროდუქტების მიწოდების არხები, რამაც პანდემიის გავრცელების საწყის ეტაპზე ინფლაციის ზრდა გამოიწვია. ანალოგიური ტენდენცია იყო მსოფლიოს თითქმის ყველა ქვეყანაში. მოგვიანებით, ივნისი-ივლისიდან, მოთხოვნის შემცირების ეფექტმა გადააჭარბა მიწოდების ეფექტს. შედეგად ინფლაციის მაჩვენებელმა შემცირება დაიწყო</w:t>
      </w:r>
      <w:r w:rsidRPr="00850E6B">
        <w:rPr>
          <w:rFonts w:ascii="Segoe UI" w:hAnsi="Segoe UI" w:cs="Segoe UI"/>
          <w:sz w:val="20"/>
          <w:szCs w:val="20"/>
        </w:rPr>
        <w:t>.</w:t>
      </w:r>
      <w:r w:rsidRPr="00850E6B">
        <w:rPr>
          <w:rFonts w:ascii="Segoe UI" w:hAnsi="Segoe UI" w:cs="Segoe UI"/>
          <w:sz w:val="20"/>
          <w:szCs w:val="20"/>
          <w:lang w:val="ka-GE"/>
        </w:rPr>
        <w:t xml:space="preserve"> თუმცა 2021 წლის მარტში მოხდა წლიური ინფლაციის მნიშვნელოვანი ზრდა 3.6 პროცენტიდან 7.2 პროცენტამდე. აღნიშნული მკვეთრი ზრდა იყო განპირობებული ზოგიერთ პროდუქტზე მთავრობის სუბსიდირების პროგრამის შეწყვეტით. მაღალი ინფლაცია დაფიქსირდა 2021 წლის შემდგომ თვეებშიც</w:t>
      </w:r>
      <w:r w:rsidR="003F4734">
        <w:rPr>
          <w:rFonts w:ascii="Segoe UI" w:hAnsi="Segoe UI" w:cs="Segoe UI"/>
          <w:sz w:val="20"/>
          <w:szCs w:val="20"/>
          <w:lang w:val="ka-GE"/>
        </w:rPr>
        <w:t xml:space="preserve"> და შედეგად ინფლაციის ნიშნულმა ოქტომბერში</w:t>
      </w:r>
      <w:r w:rsidR="00DE5CC1">
        <w:rPr>
          <w:rFonts w:ascii="Segoe UI" w:hAnsi="Segoe UI" w:cs="Segoe UI"/>
          <w:sz w:val="20"/>
          <w:szCs w:val="20"/>
          <w:lang w:val="ka-GE"/>
        </w:rPr>
        <w:t xml:space="preserve"> 12.8 პროცენტი</w:t>
      </w:r>
      <w:r w:rsidR="003F4734">
        <w:rPr>
          <w:rFonts w:ascii="Segoe UI" w:hAnsi="Segoe UI" w:cs="Segoe UI"/>
          <w:sz w:val="20"/>
          <w:szCs w:val="20"/>
          <w:lang w:val="ka-GE"/>
        </w:rPr>
        <w:t xml:space="preserve"> შეადგინა</w:t>
      </w:r>
      <w:r w:rsidR="00DE5CC1" w:rsidRPr="00850E6B">
        <w:rPr>
          <w:rFonts w:ascii="Segoe UI" w:hAnsi="Segoe UI" w:cs="Segoe UI"/>
          <w:sz w:val="20"/>
          <w:szCs w:val="20"/>
          <w:lang w:val="ka-GE"/>
        </w:rPr>
        <w:t>.</w:t>
      </w:r>
      <w:r w:rsidR="00DE5CC1">
        <w:rPr>
          <w:rFonts w:ascii="Segoe UI" w:hAnsi="Segoe UI" w:cs="Segoe UI"/>
          <w:sz w:val="20"/>
          <w:szCs w:val="20"/>
        </w:rPr>
        <w:t xml:space="preserve"> </w:t>
      </w:r>
      <w:r w:rsidR="00E523DA" w:rsidRPr="00850E6B">
        <w:rPr>
          <w:rFonts w:ascii="Segoe UI" w:hAnsi="Segoe UI" w:cs="Segoe UI"/>
          <w:sz w:val="20"/>
          <w:szCs w:val="20"/>
          <w:lang w:val="ka-GE"/>
        </w:rPr>
        <w:t>მოცემული მაღალი ინფლაცია ძირითადად განპირობებულია სასურსათო პროდუტისა და ტრანსპორტირების ფასების ზრდით</w:t>
      </w:r>
      <w:r w:rsidR="00A54B17">
        <w:rPr>
          <w:rFonts w:ascii="Segoe UI" w:hAnsi="Segoe UI" w:cs="Segoe UI"/>
          <w:sz w:val="20"/>
          <w:szCs w:val="20"/>
          <w:lang w:val="ka-GE"/>
        </w:rPr>
        <w:t xml:space="preserve">, </w:t>
      </w:r>
      <w:r w:rsidR="00E523DA" w:rsidRPr="00850E6B">
        <w:rPr>
          <w:rFonts w:ascii="Segoe UI" w:hAnsi="Segoe UI" w:cs="Segoe UI"/>
          <w:sz w:val="20"/>
          <w:szCs w:val="20"/>
          <w:lang w:val="ka-GE"/>
        </w:rPr>
        <w:t>რომლებიც გამოწვეულია მსოფლიო ბაზრებზე სურსათისა და ნავთობის ფასების ზრდით.</w:t>
      </w:r>
      <w:r w:rsidRPr="00850E6B">
        <w:rPr>
          <w:rFonts w:ascii="Segoe UI" w:hAnsi="Segoe UI" w:cs="Segoe UI"/>
          <w:sz w:val="20"/>
          <w:szCs w:val="20"/>
          <w:lang w:val="ka-GE"/>
        </w:rPr>
        <w:t xml:space="preserve"> მაღალი წლიური ინფლაციის ფონზე, სეზონურად მოსწორებული თვიური ანუალიზებული ინ</w:t>
      </w:r>
      <w:r w:rsidR="00914DE1">
        <w:rPr>
          <w:rFonts w:ascii="Segoe UI" w:hAnsi="Segoe UI" w:cs="Segoe UI"/>
          <w:sz w:val="20"/>
          <w:szCs w:val="20"/>
          <w:lang w:val="ka-GE"/>
        </w:rPr>
        <w:t>ფლ</w:t>
      </w:r>
      <w:r w:rsidRPr="00850E6B">
        <w:rPr>
          <w:rFonts w:ascii="Segoe UI" w:hAnsi="Segoe UI" w:cs="Segoe UI"/>
          <w:sz w:val="20"/>
          <w:szCs w:val="20"/>
          <w:lang w:val="ka-GE"/>
        </w:rPr>
        <w:t xml:space="preserve">აცია </w:t>
      </w:r>
      <w:r w:rsidR="00E523DA" w:rsidRPr="00850E6B">
        <w:rPr>
          <w:rFonts w:ascii="Segoe UI" w:hAnsi="Segoe UI" w:cs="Segoe UI"/>
          <w:sz w:val="20"/>
          <w:szCs w:val="20"/>
          <w:lang w:val="ka-GE"/>
        </w:rPr>
        <w:t>მცირდებ</w:t>
      </w:r>
      <w:r w:rsidR="00DE5CC1">
        <w:rPr>
          <w:rFonts w:ascii="Segoe UI" w:hAnsi="Segoe UI" w:cs="Segoe UI"/>
          <w:sz w:val="20"/>
          <w:szCs w:val="20"/>
          <w:lang w:val="ka-GE"/>
        </w:rPr>
        <w:t>ოდა და სექტემბერში -0.3 პროცენტი შეადგინა, ოქტომბერში კი ზრდა დაფიქსირდა.</w:t>
      </w:r>
      <w:r w:rsidR="00420B68">
        <w:rPr>
          <w:rFonts w:ascii="Segoe UI" w:hAnsi="Segoe UI" w:cs="Segoe UI"/>
          <w:sz w:val="20"/>
          <w:szCs w:val="20"/>
          <w:lang w:val="ka-GE"/>
        </w:rPr>
        <w:t xml:space="preserve"> </w:t>
      </w:r>
      <w:r w:rsidRPr="00850E6B">
        <w:rPr>
          <w:rFonts w:ascii="Segoe UI" w:hAnsi="Segoe UI" w:cs="Segoe UI"/>
          <w:sz w:val="20"/>
          <w:szCs w:val="20"/>
          <w:lang w:val="ka-GE"/>
        </w:rPr>
        <w:t>წლიურ ინფლაციაზე აღმავალი ზეწოლა დამოკიდებულია მსოფლიო სასოფლო-სამეურნეო ბაზრებზე გაზრდილი ფასებისა (მათ შორის ნავთობის ფასები) და წინა პერიოდში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ამავე დროს, აღსანიშნავია, რომ კომუნალური გადასახადების სუბსიდიის საბაზო ეფექტი წლიური ინფლაციის მაჩვენებელს 2021 წლის დეკემბერსა და 2022 წლის იანვარ-თებერვალში დამატებით დროებით გაზრდის. აღნიშნული ფაქტორების გათვალისწინებით, და იმ მოლოდინით, რომ წლის განმავლობაში მოხდება ეკონომიკური აქტივობის ზრდა, რაც ქმნის დამატებით წნეხს ინ</w:t>
      </w:r>
      <w:r w:rsidR="00A54B17">
        <w:rPr>
          <w:rFonts w:ascii="Segoe UI" w:hAnsi="Segoe UI" w:cs="Segoe UI"/>
          <w:sz w:val="20"/>
          <w:szCs w:val="20"/>
          <w:lang w:val="ka-GE"/>
        </w:rPr>
        <w:t>ფ</w:t>
      </w:r>
      <w:r w:rsidRPr="00850E6B">
        <w:rPr>
          <w:rFonts w:ascii="Segoe UI" w:hAnsi="Segoe UI" w:cs="Segoe UI"/>
          <w:sz w:val="20"/>
          <w:szCs w:val="20"/>
          <w:lang w:val="ka-GE"/>
        </w:rPr>
        <w:t>ლ</w:t>
      </w:r>
      <w:r w:rsidR="00A54B17">
        <w:rPr>
          <w:rFonts w:ascii="Segoe UI" w:hAnsi="Segoe UI" w:cs="Segoe UI"/>
          <w:sz w:val="20"/>
          <w:szCs w:val="20"/>
          <w:lang w:val="ka-GE"/>
        </w:rPr>
        <w:t>ა</w:t>
      </w:r>
      <w:r w:rsidRPr="00850E6B">
        <w:rPr>
          <w:rFonts w:ascii="Segoe UI" w:hAnsi="Segoe UI" w:cs="Segoe UI"/>
          <w:sz w:val="20"/>
          <w:szCs w:val="20"/>
          <w:lang w:val="ka-GE"/>
        </w:rPr>
        <w:t xml:space="preserve">ციურ პროცესებზე, მოსალოდნელია, რომ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w:t>
      </w:r>
      <w:r w:rsidR="00E523DA" w:rsidRPr="00850E6B">
        <w:rPr>
          <w:rFonts w:ascii="Segoe UI" w:hAnsi="Segoe UI" w:cs="Segoe UI"/>
          <w:sz w:val="20"/>
          <w:szCs w:val="20"/>
          <w:lang w:val="ka-GE"/>
        </w:rPr>
        <w:t>8.9</w:t>
      </w:r>
      <w:r w:rsidRPr="00850E6B">
        <w:rPr>
          <w:rFonts w:ascii="Segoe UI" w:hAnsi="Segoe UI" w:cs="Segoe UI"/>
          <w:sz w:val="20"/>
          <w:szCs w:val="20"/>
          <w:lang w:val="ka-GE"/>
        </w:rPr>
        <w:t xml:space="preserve"> პროცენტს, ხოლო 2022 წლის </w:t>
      </w:r>
      <w:r w:rsidR="00595BD5">
        <w:rPr>
          <w:rFonts w:ascii="Segoe UI" w:hAnsi="Segoe UI" w:cs="Segoe UI"/>
          <w:sz w:val="20"/>
          <w:szCs w:val="20"/>
        </w:rPr>
        <w:t>მეორე ნახევარ</w:t>
      </w:r>
      <w:r w:rsidR="00595BD5">
        <w:rPr>
          <w:rFonts w:ascii="Segoe UI" w:hAnsi="Segoe UI" w:cs="Segoe UI"/>
          <w:sz w:val="20"/>
          <w:szCs w:val="20"/>
          <w:lang w:val="ka-GE"/>
        </w:rPr>
        <w:t>ში</w:t>
      </w:r>
      <w:r w:rsidRPr="00850E6B">
        <w:rPr>
          <w:rFonts w:ascii="Segoe UI" w:hAnsi="Segoe UI" w:cs="Segoe UI"/>
          <w:sz w:val="20"/>
          <w:szCs w:val="20"/>
          <w:lang w:val="ka-GE"/>
        </w:rPr>
        <w:t xml:space="preserve"> დაუბრუნდება მიზნობრივ მაჩვენებელს.</w:t>
      </w:r>
    </w:p>
    <w:p w:rsidR="00D73B98" w:rsidRDefault="00D73B98" w:rsidP="005F7E2E">
      <w:pPr>
        <w:spacing w:before="240" w:after="0"/>
        <w:rPr>
          <w:noProof/>
        </w:rPr>
      </w:pPr>
      <w:r w:rsidRPr="00850E6B">
        <w:rPr>
          <w:rFonts w:ascii="Segoe UI" w:hAnsi="Segoe UI" w:cs="Segoe UI"/>
          <w:sz w:val="20"/>
          <w:szCs w:val="20"/>
          <w:lang w:val="ka-GE"/>
        </w:rPr>
        <w:t xml:space="preserve">დიაგრამა 2: </w:t>
      </w:r>
      <w:r w:rsidR="00F17ADE">
        <w:rPr>
          <w:rFonts w:ascii="Segoe UI" w:hAnsi="Segoe UI" w:cs="Segoe UI"/>
          <w:sz w:val="20"/>
          <w:szCs w:val="20"/>
          <w:lang w:val="ka-GE"/>
        </w:rPr>
        <w:t>ინ</w:t>
      </w:r>
      <w:r w:rsidRPr="00850E6B">
        <w:rPr>
          <w:rFonts w:ascii="Segoe UI" w:hAnsi="Segoe UI" w:cs="Segoe UI"/>
          <w:sz w:val="20"/>
          <w:szCs w:val="20"/>
          <w:lang w:val="ka-GE"/>
        </w:rPr>
        <w:t>ფ</w:t>
      </w:r>
      <w:r w:rsidR="00F17ADE">
        <w:rPr>
          <w:rFonts w:ascii="Segoe UI" w:hAnsi="Segoe UI" w:cs="Segoe UI"/>
          <w:sz w:val="20"/>
          <w:szCs w:val="20"/>
          <w:lang w:val="ka-GE"/>
        </w:rPr>
        <w:t>ლ</w:t>
      </w:r>
      <w:r w:rsidRPr="00850E6B">
        <w:rPr>
          <w:rFonts w:ascii="Segoe UI" w:hAnsi="Segoe UI" w:cs="Segoe UI"/>
          <w:sz w:val="20"/>
          <w:szCs w:val="20"/>
          <w:lang w:val="ka-GE"/>
        </w:rPr>
        <w:t>აციის დინამიკა, 2021</w:t>
      </w:r>
    </w:p>
    <w:p w:rsidR="00DE5CC1" w:rsidRPr="00D73B98" w:rsidRDefault="00DE5CC1" w:rsidP="005F7E2E">
      <w:pPr>
        <w:spacing w:before="240" w:after="0"/>
        <w:rPr>
          <w:rFonts w:ascii="Sylfaen" w:hAnsi="Sylfaen" w:cs="Segoe UI"/>
          <w:sz w:val="20"/>
          <w:szCs w:val="20"/>
          <w:lang w:val="ka-GE"/>
        </w:rPr>
      </w:pPr>
      <w:r>
        <w:rPr>
          <w:noProof/>
        </w:rPr>
        <w:drawing>
          <wp:inline distT="0" distB="0" distL="0" distR="0" wp14:anchorId="4BAADF1A" wp14:editId="77DDAD7F">
            <wp:extent cx="6627495" cy="3048169"/>
            <wp:effectExtent l="0" t="0" r="1905" b="0"/>
            <wp:docPr id="7" name="Chart 7">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3B98" w:rsidRPr="00850E6B" w:rsidRDefault="00D73B98" w:rsidP="00D73B98">
      <w:pPr>
        <w:pStyle w:val="Caption"/>
        <w:rPr>
          <w:rFonts w:ascii="Segoe UI" w:hAnsi="Segoe UI" w:cs="Segoe UI"/>
          <w:i w:val="0"/>
          <w:iCs w:val="0"/>
          <w:noProof/>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rsidR="00D73B98" w:rsidRPr="00850E6B" w:rsidRDefault="00D73B98" w:rsidP="00D73B98">
      <w:pPr>
        <w:spacing w:after="0"/>
        <w:rPr>
          <w:rFonts w:ascii="Segoe UI" w:hAnsi="Segoe UI" w:cs="Segoe UI"/>
          <w:sz w:val="20"/>
          <w:szCs w:val="20"/>
          <w:lang w:val="ka-GE"/>
        </w:rPr>
      </w:pPr>
      <w:r w:rsidRPr="00850E6B">
        <w:rPr>
          <w:rFonts w:ascii="Segoe UI" w:hAnsi="Segoe UI" w:cs="Segoe UI"/>
          <w:sz w:val="20"/>
          <w:szCs w:val="20"/>
          <w:lang w:val="ka-GE"/>
        </w:rPr>
        <w:t>დიაგრამა 3: ეკონომიკური ზრდა, 2021</w:t>
      </w:r>
    </w:p>
    <w:p w:rsidR="00D73B98" w:rsidRDefault="00D73B98" w:rsidP="005F7E2E">
      <w:pPr>
        <w:spacing w:after="0"/>
        <w:jc w:val="both"/>
        <w:rPr>
          <w:rFonts w:ascii="Sylfaen" w:hAnsi="Sylfaen" w:cs="Segoe UI"/>
          <w:sz w:val="20"/>
          <w:szCs w:val="20"/>
          <w:lang w:val="ka-GE"/>
        </w:rPr>
      </w:pPr>
    </w:p>
    <w:p w:rsidR="00595BD5" w:rsidRPr="00D73B98" w:rsidRDefault="00DE5CC1" w:rsidP="005F7E2E">
      <w:pPr>
        <w:spacing w:after="0"/>
        <w:jc w:val="both"/>
        <w:rPr>
          <w:rFonts w:ascii="Sylfaen" w:hAnsi="Sylfaen" w:cs="Segoe UI"/>
          <w:sz w:val="20"/>
          <w:szCs w:val="20"/>
          <w:lang w:val="ka-GE"/>
        </w:rPr>
      </w:pPr>
      <w:r>
        <w:rPr>
          <w:noProof/>
        </w:rPr>
        <w:drawing>
          <wp:inline distT="0" distB="0" distL="0" distR="0" wp14:anchorId="33D001E7" wp14:editId="09B483C1">
            <wp:extent cx="6624000" cy="3049200"/>
            <wp:effectExtent l="0" t="0" r="5715" b="0"/>
            <wp:docPr id="1" name="Chart 1">
              <a:extLst xmlns:a="http://schemas.openxmlformats.org/drawingml/2006/main">
                <a:ext uri="{FF2B5EF4-FFF2-40B4-BE49-F238E27FC236}">
                  <a16:creationId xmlns:a16="http://schemas.microsoft.com/office/drawing/2014/main" id="{A34557D6-77C9-46DB-B1F3-43D4AC4F2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3B98" w:rsidRPr="00850E6B" w:rsidRDefault="00D73B98" w:rsidP="00D73B98">
      <w:pPr>
        <w:pStyle w:val="Caption"/>
        <w:rPr>
          <w:rFonts w:ascii="Segoe UI" w:hAnsi="Segoe UI" w:cs="Segoe UI"/>
          <w:i w:val="0"/>
          <w:iCs w:val="0"/>
          <w:noProof/>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rsidR="00D73B98" w:rsidRPr="00850E6B" w:rsidRDefault="00D73B98" w:rsidP="005F7E2E">
      <w:pPr>
        <w:spacing w:line="276" w:lineRule="auto"/>
        <w:ind w:firstLine="720"/>
        <w:jc w:val="both"/>
        <w:rPr>
          <w:rFonts w:ascii="Segoe UI" w:hAnsi="Segoe UI" w:cs="Segoe UI"/>
          <w:sz w:val="20"/>
          <w:szCs w:val="20"/>
        </w:rPr>
      </w:pPr>
      <w:r w:rsidRPr="00850E6B">
        <w:rPr>
          <w:rFonts w:ascii="Segoe UI" w:hAnsi="Segoe UI" w:cs="Segoe UI"/>
          <w:sz w:val="20"/>
          <w:szCs w:val="20"/>
          <w:lang w:val="ka-GE"/>
        </w:rPr>
        <w:t xml:space="preserve">ნომინალური და რეალური ეფექტური გაცვლითი </w:t>
      </w:r>
      <w:r w:rsidR="002D6B40">
        <w:rPr>
          <w:rFonts w:ascii="Segoe UI" w:hAnsi="Segoe UI" w:cs="Segoe UI"/>
          <w:sz w:val="20"/>
          <w:szCs w:val="20"/>
          <w:lang w:val="ka-GE"/>
        </w:rPr>
        <w:t>კურსები</w:t>
      </w:r>
      <w:r w:rsidRPr="00850E6B">
        <w:rPr>
          <w:rFonts w:ascii="Segoe UI" w:hAnsi="Segoe UI" w:cs="Segoe UI"/>
          <w:sz w:val="20"/>
          <w:szCs w:val="20"/>
          <w:lang w:val="ka-GE"/>
        </w:rPr>
        <w:t xml:space="preserve"> </w:t>
      </w:r>
      <w:r w:rsidR="002D6B40">
        <w:rPr>
          <w:rFonts w:ascii="Segoe UI" w:hAnsi="Segoe UI" w:cs="Segoe UI"/>
          <w:sz w:val="20"/>
          <w:szCs w:val="20"/>
          <w:lang w:val="ka-GE"/>
        </w:rPr>
        <w:t>2021 წლის დასაწყისში წლიურად უფასურდებოდა.</w:t>
      </w:r>
      <w:r w:rsidR="00420B68">
        <w:rPr>
          <w:rFonts w:ascii="Segoe UI" w:hAnsi="Segoe UI" w:cs="Segoe UI"/>
          <w:sz w:val="20"/>
          <w:szCs w:val="20"/>
          <w:lang w:val="ka-GE"/>
        </w:rPr>
        <w:t xml:space="preserve"> </w:t>
      </w:r>
      <w:r w:rsidR="002D6B40">
        <w:rPr>
          <w:rFonts w:ascii="Segoe UI" w:hAnsi="Segoe UI" w:cs="Segoe UI"/>
          <w:sz w:val="20"/>
          <w:szCs w:val="20"/>
          <w:lang w:val="ka-GE"/>
        </w:rPr>
        <w:t>ივნისიდან რეალურმა ეფექტურმა გაცვლითმა კურსმა გამყარება დაიწყო, ხოლო ნომინალურმა კი ივლისიდან.</w:t>
      </w:r>
      <w:r w:rsidR="005F7E2E" w:rsidRPr="00850E6B">
        <w:rPr>
          <w:rFonts w:ascii="Segoe UI" w:hAnsi="Segoe UI" w:cs="Segoe UI"/>
          <w:sz w:val="20"/>
          <w:szCs w:val="20"/>
          <w:lang w:val="ka-GE"/>
        </w:rPr>
        <w:t xml:space="preserve"> კერძოდ, ბოლო 4 თვის ნომინალური ეფექტური გაცვლითი კურსი </w:t>
      </w:r>
      <w:r w:rsidR="000E34C8">
        <w:rPr>
          <w:rFonts w:ascii="Segoe UI" w:hAnsi="Segoe UI" w:cs="Segoe UI"/>
          <w:sz w:val="20"/>
          <w:szCs w:val="20"/>
          <w:lang w:val="ka-GE"/>
        </w:rPr>
        <w:t xml:space="preserve">წლიურად 1.8 პროცენტით </w:t>
      </w:r>
      <w:r w:rsidR="00420B68">
        <w:rPr>
          <w:rFonts w:ascii="Segoe UI" w:hAnsi="Segoe UI" w:cs="Segoe UI"/>
          <w:sz w:val="20"/>
          <w:szCs w:val="20"/>
          <w:lang w:val="ka-GE"/>
        </w:rPr>
        <w:t>გამყარდა</w:t>
      </w:r>
      <w:r w:rsidR="005F7E2E" w:rsidRPr="00850E6B">
        <w:rPr>
          <w:rFonts w:ascii="Segoe UI" w:hAnsi="Segoe UI" w:cs="Segoe UI"/>
          <w:sz w:val="20"/>
          <w:szCs w:val="20"/>
          <w:lang w:val="ka-GE"/>
        </w:rPr>
        <w:t>, ხოლო რეალური ეფექტური გაცვლით</w:t>
      </w:r>
      <w:r w:rsidR="00420B68">
        <w:rPr>
          <w:rFonts w:ascii="Segoe UI" w:hAnsi="Segoe UI" w:cs="Segoe UI"/>
          <w:sz w:val="20"/>
          <w:szCs w:val="20"/>
          <w:lang w:val="ka-GE"/>
        </w:rPr>
        <w:t>ი</w:t>
      </w:r>
      <w:r w:rsidR="005F7E2E" w:rsidRPr="00850E6B">
        <w:rPr>
          <w:rFonts w:ascii="Segoe UI" w:hAnsi="Segoe UI" w:cs="Segoe UI"/>
          <w:sz w:val="20"/>
          <w:szCs w:val="20"/>
          <w:lang w:val="ka-GE"/>
        </w:rPr>
        <w:t xml:space="preserve"> კურსი </w:t>
      </w:r>
      <w:r w:rsidR="000E34C8">
        <w:rPr>
          <w:rFonts w:ascii="Segoe UI" w:hAnsi="Segoe UI" w:cs="Segoe UI"/>
          <w:sz w:val="20"/>
          <w:szCs w:val="20"/>
          <w:lang w:val="ka-GE"/>
        </w:rPr>
        <w:t>5</w:t>
      </w:r>
      <w:r w:rsidR="005F7E2E" w:rsidRPr="00850E6B">
        <w:rPr>
          <w:rFonts w:ascii="Segoe UI" w:hAnsi="Segoe UI" w:cs="Segoe UI"/>
          <w:sz w:val="20"/>
          <w:szCs w:val="20"/>
          <w:lang w:val="ka-GE"/>
        </w:rPr>
        <w:t xml:space="preserve"> პროცენტით</w:t>
      </w:r>
      <w:r w:rsidR="000E34C8">
        <w:rPr>
          <w:rFonts w:ascii="Segoe UI" w:hAnsi="Segoe UI" w:cs="Segoe UI"/>
          <w:sz w:val="20"/>
          <w:szCs w:val="20"/>
          <w:lang w:val="ka-GE"/>
        </w:rPr>
        <w:t>.</w:t>
      </w:r>
      <w:r w:rsidR="005F7E2E" w:rsidRPr="00850E6B">
        <w:rPr>
          <w:rFonts w:ascii="Segoe UI" w:hAnsi="Segoe UI" w:cs="Segoe UI"/>
          <w:sz w:val="20"/>
          <w:szCs w:val="20"/>
          <w:lang w:val="ka-GE"/>
        </w:rPr>
        <w:t xml:space="preserve"> </w:t>
      </w:r>
      <w:r w:rsidR="000E34C8">
        <w:rPr>
          <w:rFonts w:ascii="Segoe UI" w:hAnsi="Segoe UI" w:cs="Segoe UI"/>
          <w:sz w:val="20"/>
          <w:szCs w:val="20"/>
          <w:lang w:val="ka-GE"/>
        </w:rPr>
        <w:t>აღნიშნული წლიური ზრდები</w:t>
      </w:r>
      <w:r w:rsidR="000E34C8" w:rsidRPr="00850E6B">
        <w:rPr>
          <w:rFonts w:ascii="Segoe UI" w:hAnsi="Segoe UI" w:cs="Segoe UI"/>
          <w:sz w:val="20"/>
          <w:szCs w:val="20"/>
          <w:lang w:val="ka-GE"/>
        </w:rPr>
        <w:t xml:space="preserve"> </w:t>
      </w:r>
      <w:r w:rsidR="005F7E2E" w:rsidRPr="00850E6B">
        <w:rPr>
          <w:rFonts w:ascii="Segoe UI" w:hAnsi="Segoe UI" w:cs="Segoe UI"/>
          <w:sz w:val="20"/>
          <w:szCs w:val="20"/>
          <w:lang w:val="ka-GE"/>
        </w:rPr>
        <w:t>განპირობებული იყო ამ პერიოდში  სწრაფი ეკონომიკური ზრდით, რამაც ასევე ხელი შეუწყო პოზიტიური მოლოდინების ფორმირებას, მაგრამ ეკონომიკურ</w:t>
      </w:r>
      <w:r w:rsidR="00420B68">
        <w:rPr>
          <w:rFonts w:ascii="Segoe UI" w:hAnsi="Segoe UI" w:cs="Segoe UI"/>
          <w:sz w:val="20"/>
          <w:szCs w:val="20"/>
          <w:lang w:val="ka-GE"/>
        </w:rPr>
        <w:t>ი</w:t>
      </w:r>
      <w:r w:rsidR="005F7E2E" w:rsidRPr="00850E6B">
        <w:rPr>
          <w:rFonts w:ascii="Segoe UI" w:hAnsi="Segoe UI" w:cs="Segoe UI"/>
          <w:sz w:val="20"/>
          <w:szCs w:val="20"/>
          <w:lang w:val="ka-GE"/>
        </w:rPr>
        <w:t xml:space="preserve"> ზრდის დასტაბილურებასთან ერთად სტაბილურდება ლარის გამყარების ტენდენციაც. </w:t>
      </w:r>
      <w:r w:rsidRPr="00850E6B">
        <w:rPr>
          <w:rFonts w:ascii="Segoe UI" w:hAnsi="Segoe UI" w:cs="Segoe UI"/>
          <w:sz w:val="20"/>
          <w:szCs w:val="20"/>
          <w:lang w:val="ka-GE"/>
        </w:rPr>
        <w:t xml:space="preserve">კერძოდ, </w:t>
      </w:r>
      <w:r w:rsidR="000E34C8">
        <w:rPr>
          <w:rFonts w:ascii="Segoe UI" w:hAnsi="Segoe UI" w:cs="Segoe UI"/>
          <w:sz w:val="20"/>
          <w:szCs w:val="20"/>
          <w:lang w:val="ka-GE"/>
        </w:rPr>
        <w:t>ოქტომბერში</w:t>
      </w:r>
      <w:r w:rsidR="000E34C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ნომინალური ეფექტური გაცლითი კურსი გამყარდა </w:t>
      </w:r>
      <w:r w:rsidR="005F7E2E" w:rsidRPr="00850E6B">
        <w:rPr>
          <w:rFonts w:ascii="Segoe UI" w:hAnsi="Segoe UI" w:cs="Segoe UI"/>
          <w:sz w:val="20"/>
          <w:szCs w:val="20"/>
          <w:lang w:val="ka-GE"/>
        </w:rPr>
        <w:t>0.</w:t>
      </w:r>
      <w:r w:rsidR="000E34C8">
        <w:rPr>
          <w:rFonts w:ascii="Segoe UI" w:hAnsi="Segoe UI" w:cs="Segoe UI"/>
          <w:sz w:val="20"/>
          <w:szCs w:val="20"/>
          <w:lang w:val="ka-GE"/>
        </w:rPr>
        <w:t>4</w:t>
      </w:r>
      <w:r w:rsidRPr="00850E6B">
        <w:rPr>
          <w:rFonts w:ascii="Segoe UI" w:hAnsi="Segoe UI" w:cs="Segoe UI"/>
          <w:sz w:val="20"/>
          <w:szCs w:val="20"/>
          <w:lang w:val="ka-GE"/>
        </w:rPr>
        <w:t xml:space="preserve"> </w:t>
      </w:r>
      <w:r w:rsidR="000E34C8" w:rsidRPr="00850E6B">
        <w:rPr>
          <w:rFonts w:ascii="Segoe UI" w:hAnsi="Segoe UI" w:cs="Segoe UI"/>
          <w:sz w:val="20"/>
          <w:szCs w:val="20"/>
          <w:lang w:val="ka-GE"/>
        </w:rPr>
        <w:t>პროცენტით</w:t>
      </w:r>
      <w:r w:rsidR="000E34C8">
        <w:rPr>
          <w:rFonts w:ascii="Segoe UI" w:hAnsi="Segoe UI" w:cs="Segoe UI"/>
          <w:sz w:val="20"/>
          <w:szCs w:val="20"/>
          <w:lang w:val="ka-GE"/>
        </w:rPr>
        <w:t>, რასაც წინ უძღოდა სექტემბერში 0.1 პროცენტიანი გაუფასურება</w:t>
      </w:r>
      <w:r w:rsidR="000E34C8" w:rsidRPr="00850E6B">
        <w:rPr>
          <w:rFonts w:ascii="Segoe UI" w:hAnsi="Segoe UI" w:cs="Segoe UI"/>
          <w:sz w:val="20"/>
          <w:szCs w:val="20"/>
          <w:lang w:val="ka-GE"/>
        </w:rPr>
        <w:t xml:space="preserve"> </w:t>
      </w:r>
      <w:r w:rsidR="000E34C8">
        <w:rPr>
          <w:rFonts w:ascii="Segoe UI" w:hAnsi="Segoe UI" w:cs="Segoe UI"/>
          <w:sz w:val="20"/>
          <w:szCs w:val="20"/>
          <w:lang w:val="ka-GE"/>
        </w:rPr>
        <w:t>აგვისტოსთან</w:t>
      </w:r>
      <w:r w:rsidR="000E34C8" w:rsidRPr="00850E6B">
        <w:rPr>
          <w:rFonts w:ascii="Segoe UI" w:hAnsi="Segoe UI" w:cs="Segoe UI"/>
          <w:sz w:val="20"/>
          <w:szCs w:val="20"/>
          <w:lang w:val="ka-GE"/>
        </w:rPr>
        <w:t xml:space="preserve"> შედარებით.</w:t>
      </w:r>
      <w:r w:rsidR="000E34C8">
        <w:rPr>
          <w:rFonts w:ascii="Segoe UI" w:hAnsi="Segoe UI" w:cs="Segoe UI"/>
          <w:sz w:val="20"/>
          <w:szCs w:val="20"/>
          <w:lang w:val="ka-GE"/>
        </w:rPr>
        <w:t xml:space="preserve"> ასევე, სექტემბერში წინა თვესთან შედარებით გაუფასურდა რეალური ეფექტური გაცვლითი კურსიც, მაგრამ წლიურმა ზრდამ</w:t>
      </w:r>
      <w:r w:rsidR="003F4734">
        <w:rPr>
          <w:rFonts w:ascii="Segoe UI" w:hAnsi="Segoe UI" w:cs="Segoe UI"/>
          <w:sz w:val="20"/>
          <w:szCs w:val="20"/>
          <w:lang w:val="ka-GE"/>
        </w:rPr>
        <w:t xml:space="preserve"> 7.3</w:t>
      </w:r>
      <w:r w:rsidR="000E34C8">
        <w:rPr>
          <w:rFonts w:ascii="Segoe UI" w:hAnsi="Segoe UI" w:cs="Segoe UI"/>
          <w:sz w:val="20"/>
          <w:szCs w:val="20"/>
          <w:lang w:val="ka-GE"/>
        </w:rPr>
        <w:t xml:space="preserve"> პროცენტი შეადგინა. </w:t>
      </w:r>
      <w:r w:rsidRPr="00850E6B">
        <w:rPr>
          <w:rFonts w:ascii="Segoe UI" w:hAnsi="Segoe UI" w:cs="Segoe UI"/>
          <w:sz w:val="20"/>
          <w:szCs w:val="20"/>
          <w:lang w:val="ka-GE"/>
        </w:rPr>
        <w:t xml:space="preserve">მოსალოდნელია, რომ </w:t>
      </w:r>
      <w:r w:rsidR="00A54B17">
        <w:rPr>
          <w:rFonts w:ascii="Segoe UI" w:hAnsi="Segoe UI" w:cs="Segoe UI"/>
          <w:sz w:val="20"/>
          <w:szCs w:val="20"/>
          <w:lang w:val="ka-GE"/>
        </w:rPr>
        <w:t xml:space="preserve">რეალური ეფექტური </w:t>
      </w:r>
      <w:r w:rsidRPr="00850E6B">
        <w:rPr>
          <w:rFonts w:ascii="Segoe UI" w:hAnsi="Segoe UI" w:cs="Segoe UI"/>
          <w:sz w:val="20"/>
          <w:szCs w:val="20"/>
          <w:lang w:val="ka-GE"/>
        </w:rPr>
        <w:t>გაცვლით</w:t>
      </w:r>
      <w:r w:rsidR="00A54B17">
        <w:rPr>
          <w:rFonts w:ascii="Segoe UI" w:hAnsi="Segoe UI" w:cs="Segoe UI"/>
          <w:sz w:val="20"/>
          <w:szCs w:val="20"/>
          <w:lang w:val="ka-GE"/>
        </w:rPr>
        <w:t>ი</w:t>
      </w:r>
      <w:r w:rsidRPr="00850E6B">
        <w:rPr>
          <w:rFonts w:ascii="Segoe UI" w:hAnsi="Segoe UI" w:cs="Segoe UI"/>
          <w:sz w:val="20"/>
          <w:szCs w:val="20"/>
          <w:lang w:val="ka-GE"/>
        </w:rPr>
        <w:t xml:space="preserve"> კურსი </w:t>
      </w:r>
      <w:r w:rsidR="000E34C8">
        <w:rPr>
          <w:rFonts w:ascii="Segoe UI" w:hAnsi="Segoe UI" w:cs="Segoe UI"/>
          <w:sz w:val="20"/>
          <w:szCs w:val="20"/>
          <w:lang w:val="ka-GE"/>
        </w:rPr>
        <w:t>შეინარჩუნებს სტაბილურობას,</w:t>
      </w:r>
      <w:r w:rsidRPr="00850E6B">
        <w:rPr>
          <w:rFonts w:ascii="Segoe UI" w:hAnsi="Segoe UI" w:cs="Segoe UI"/>
          <w:sz w:val="20"/>
          <w:szCs w:val="20"/>
          <w:lang w:val="ka-GE"/>
        </w:rPr>
        <w:t xml:space="preserve"> რაც ამავე დროს დადებითად აისახება ინფლაციის მაჩვენებელზე.</w:t>
      </w:r>
    </w:p>
    <w:p w:rsidR="00D73B98" w:rsidRPr="00850E6B" w:rsidRDefault="00D73B98" w:rsidP="005F7E2E">
      <w:pPr>
        <w:ind w:firstLine="720"/>
        <w:jc w:val="both"/>
        <w:rPr>
          <w:rFonts w:ascii="Segoe UI" w:hAnsi="Segoe UI" w:cs="Segoe UI"/>
          <w:sz w:val="20"/>
          <w:szCs w:val="20"/>
        </w:rPr>
      </w:pPr>
      <w:r w:rsidRPr="00850E6B">
        <w:rPr>
          <w:rFonts w:ascii="Segoe UI" w:hAnsi="Segoe UI" w:cs="Segoe UI"/>
          <w:sz w:val="20"/>
          <w:szCs w:val="20"/>
        </w:rPr>
        <w:t xml:space="preserve">2020 </w:t>
      </w:r>
      <w:r w:rsidRPr="00850E6B">
        <w:rPr>
          <w:rFonts w:ascii="Segoe UI" w:hAnsi="Segoe UI" w:cs="Segoe UI"/>
          <w:sz w:val="20"/>
          <w:szCs w:val="20"/>
          <w:lang w:val="ka-GE"/>
        </w:rPr>
        <w:t xml:space="preserve">წლის განმავლობაში პანდემიის შედეგად მნიშვნელოვანი გაუარესება მოხდა საგარეო ბალანსში. თუმცა 2021 წლის თებერვლიდან, ექსპორტის წლიურმა ზრდამ მიიღო დადებითი მნიშვნელობა. 2021 წლის </w:t>
      </w:r>
      <w:r w:rsidR="00420B68" w:rsidRPr="00850E6B">
        <w:rPr>
          <w:rFonts w:ascii="Segoe UI" w:hAnsi="Segoe UI" w:cs="Segoe UI"/>
          <w:sz w:val="20"/>
          <w:szCs w:val="20"/>
          <w:lang w:val="ka-GE"/>
        </w:rPr>
        <w:t>იანვარ-</w:t>
      </w:r>
      <w:r w:rsidR="00420B68">
        <w:rPr>
          <w:rFonts w:ascii="Segoe UI" w:hAnsi="Segoe UI" w:cs="Segoe UI"/>
          <w:sz w:val="20"/>
          <w:szCs w:val="20"/>
          <w:lang w:val="ka-GE"/>
        </w:rPr>
        <w:t>სექტემბრის</w:t>
      </w:r>
      <w:r w:rsidR="00420B6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პერიოდში ექსპორტი წლიურად გაიზარდა </w:t>
      </w:r>
      <w:r w:rsidR="003956DA" w:rsidRPr="00850E6B">
        <w:rPr>
          <w:rFonts w:ascii="Segoe UI" w:hAnsi="Segoe UI" w:cs="Segoe UI"/>
          <w:sz w:val="20"/>
          <w:szCs w:val="20"/>
          <w:lang w:val="ka-GE"/>
        </w:rPr>
        <w:t>2</w:t>
      </w:r>
      <w:r w:rsidR="000E34C8">
        <w:rPr>
          <w:rFonts w:ascii="Segoe UI" w:hAnsi="Segoe UI" w:cs="Segoe UI"/>
          <w:sz w:val="20"/>
          <w:szCs w:val="20"/>
          <w:lang w:val="ka-GE"/>
        </w:rPr>
        <w:t>4</w:t>
      </w:r>
      <w:r w:rsidRPr="00850E6B">
        <w:rPr>
          <w:rFonts w:ascii="Segoe UI" w:hAnsi="Segoe UI" w:cs="Segoe UI"/>
          <w:sz w:val="20"/>
          <w:szCs w:val="20"/>
          <w:lang w:val="ka-GE"/>
        </w:rPr>
        <w:t xml:space="preserve"> პროცენტით, ხოლო იმპორტი გაიზარდა </w:t>
      </w:r>
      <w:r w:rsidR="000E34C8">
        <w:rPr>
          <w:rFonts w:ascii="Segoe UI" w:hAnsi="Segoe UI" w:cs="Segoe UI"/>
          <w:sz w:val="20"/>
          <w:szCs w:val="20"/>
          <w:lang w:val="ka-GE"/>
        </w:rPr>
        <w:t>21.6</w:t>
      </w:r>
      <w:r w:rsidRPr="00850E6B">
        <w:rPr>
          <w:rFonts w:ascii="Segoe UI" w:hAnsi="Segoe UI" w:cs="Segoe UI"/>
          <w:sz w:val="20"/>
          <w:szCs w:val="20"/>
          <w:lang w:val="ka-GE"/>
        </w:rPr>
        <w:t xml:space="preserve"> პროცენტით. როგორც შედეგი, სავაჭრო დეფიციტი გაიზარდა </w:t>
      </w:r>
      <w:r w:rsidR="000E34C8">
        <w:rPr>
          <w:rFonts w:ascii="Segoe UI" w:hAnsi="Segoe UI" w:cs="Segoe UI"/>
          <w:sz w:val="20"/>
          <w:szCs w:val="20"/>
          <w:lang w:val="ka-GE"/>
        </w:rPr>
        <w:t>19.8</w:t>
      </w:r>
      <w:r w:rsidR="000E34C8"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პროცენტით. </w:t>
      </w:r>
      <w:r w:rsidR="007548B6" w:rsidRPr="007548B6">
        <w:rPr>
          <w:rFonts w:ascii="Segoe UI" w:hAnsi="Segoe UI" w:cs="Segoe UI"/>
          <w:sz w:val="20"/>
          <w:szCs w:val="20"/>
          <w:lang w:val="ka-GE"/>
        </w:rPr>
        <w:t xml:space="preserve">ამავე პერიოდში რეექსპორტი გაიზარდა </w:t>
      </w:r>
      <w:r w:rsidR="000E34C8">
        <w:rPr>
          <w:rFonts w:ascii="Segoe UI" w:hAnsi="Segoe UI" w:cs="Segoe UI"/>
          <w:sz w:val="20"/>
          <w:szCs w:val="20"/>
          <w:lang w:val="ka-GE"/>
        </w:rPr>
        <w:t>19.4</w:t>
      </w:r>
      <w:r w:rsidR="007548B6" w:rsidRPr="007548B6">
        <w:rPr>
          <w:rFonts w:ascii="Segoe UI" w:hAnsi="Segoe UI" w:cs="Segoe UI"/>
          <w:sz w:val="20"/>
          <w:szCs w:val="20"/>
          <w:lang w:val="ka-GE"/>
        </w:rPr>
        <w:t xml:space="preserve"> პროცენ</w:t>
      </w:r>
      <w:r w:rsidR="00B870DF">
        <w:rPr>
          <w:rFonts w:ascii="Segoe UI" w:hAnsi="Segoe UI" w:cs="Segoe UI"/>
          <w:sz w:val="20"/>
          <w:szCs w:val="20"/>
          <w:lang w:val="ka-GE"/>
        </w:rPr>
        <w:t>ტ</w:t>
      </w:r>
      <w:r w:rsidR="007548B6" w:rsidRPr="007548B6">
        <w:rPr>
          <w:rFonts w:ascii="Segoe UI" w:hAnsi="Segoe UI" w:cs="Segoe UI"/>
          <w:sz w:val="20"/>
          <w:szCs w:val="20"/>
          <w:lang w:val="ka-GE"/>
        </w:rPr>
        <w:t xml:space="preserve">ით და მთლიანი ექსპორტის </w:t>
      </w:r>
      <w:r w:rsidR="00B870DF">
        <w:rPr>
          <w:rFonts w:ascii="Segoe UI" w:hAnsi="Segoe UI" w:cs="Segoe UI"/>
          <w:sz w:val="20"/>
          <w:szCs w:val="20"/>
          <w:lang w:val="ka-GE"/>
        </w:rPr>
        <w:t>27.7</w:t>
      </w:r>
      <w:r w:rsidR="007548B6" w:rsidRPr="007548B6">
        <w:rPr>
          <w:rFonts w:ascii="Segoe UI" w:hAnsi="Segoe UI" w:cs="Segoe UI"/>
          <w:sz w:val="20"/>
          <w:szCs w:val="20"/>
          <w:lang w:val="ka-GE"/>
        </w:rPr>
        <w:t xml:space="preserve"> პროცენტი შეადგინა</w:t>
      </w:r>
      <w:r w:rsidR="007548B6">
        <w:rPr>
          <w:rFonts w:ascii="Segoe UI" w:hAnsi="Segoe UI" w:cs="Segoe UI"/>
          <w:sz w:val="20"/>
          <w:szCs w:val="20"/>
        </w:rPr>
        <w:t xml:space="preserve">. </w:t>
      </w:r>
      <w:r w:rsidRPr="00850E6B">
        <w:rPr>
          <w:rFonts w:ascii="Segoe UI" w:hAnsi="Segoe UI" w:cs="Segoe UI"/>
          <w:sz w:val="20"/>
          <w:szCs w:val="20"/>
          <w:lang w:val="ka-GE"/>
        </w:rPr>
        <w:t>ასევე</w:t>
      </w:r>
      <w:r w:rsidR="00AF4337" w:rsidRPr="00850E6B">
        <w:rPr>
          <w:rFonts w:ascii="Segoe UI" w:hAnsi="Segoe UI" w:cs="Segoe UI"/>
          <w:sz w:val="20"/>
          <w:szCs w:val="20"/>
          <w:lang w:val="ka-GE"/>
        </w:rPr>
        <w:t>,</w:t>
      </w:r>
      <w:r w:rsidRPr="00850E6B">
        <w:rPr>
          <w:rFonts w:ascii="Segoe UI" w:hAnsi="Segoe UI" w:cs="Segoe UI"/>
          <w:sz w:val="20"/>
          <w:szCs w:val="20"/>
          <w:lang w:val="ka-GE"/>
        </w:rPr>
        <w:t xml:space="preserve"> მნიშნელოვან წილს ექსპორტში იკავებს ნედლეულის ექსპორტი, </w:t>
      </w:r>
      <w:r w:rsidR="003956DA" w:rsidRPr="00850E6B">
        <w:rPr>
          <w:rFonts w:ascii="Segoe UI" w:hAnsi="Segoe UI" w:cs="Segoe UI"/>
          <w:sz w:val="20"/>
          <w:szCs w:val="20"/>
          <w:lang w:val="ka-GE"/>
        </w:rPr>
        <w:t xml:space="preserve">დაახლოებით </w:t>
      </w:r>
      <w:r w:rsidRPr="00850E6B">
        <w:rPr>
          <w:rFonts w:ascii="Segoe UI" w:hAnsi="Segoe UI" w:cs="Segoe UI"/>
          <w:sz w:val="20"/>
          <w:szCs w:val="20"/>
          <w:lang w:val="ka-GE"/>
        </w:rPr>
        <w:t>3</w:t>
      </w:r>
      <w:r w:rsidR="00B870DF">
        <w:rPr>
          <w:rFonts w:ascii="Segoe UI" w:hAnsi="Segoe UI" w:cs="Segoe UI"/>
          <w:sz w:val="20"/>
          <w:szCs w:val="20"/>
          <w:lang w:val="ka-GE"/>
        </w:rPr>
        <w:t>6.</w:t>
      </w:r>
      <w:r w:rsidRPr="00850E6B">
        <w:rPr>
          <w:rFonts w:ascii="Segoe UI" w:hAnsi="Segoe UI" w:cs="Segoe UI"/>
          <w:sz w:val="20"/>
          <w:szCs w:val="20"/>
          <w:lang w:val="ka-GE"/>
        </w:rPr>
        <w:t xml:space="preserve">8 პროცენტით, რომლის წლიურმა ზრდის ტემპმა </w:t>
      </w:r>
      <w:r w:rsidR="00B870DF" w:rsidRPr="00850E6B">
        <w:rPr>
          <w:rFonts w:ascii="Segoe UI" w:hAnsi="Segoe UI" w:cs="Segoe UI"/>
          <w:sz w:val="20"/>
          <w:szCs w:val="20"/>
          <w:lang w:val="ka-GE"/>
        </w:rPr>
        <w:t>იანვარ-</w:t>
      </w:r>
      <w:r w:rsidR="00B870DF">
        <w:rPr>
          <w:rFonts w:ascii="Segoe UI" w:hAnsi="Segoe UI" w:cs="Segoe UI"/>
          <w:sz w:val="20"/>
          <w:szCs w:val="20"/>
          <w:lang w:val="ka-GE"/>
        </w:rPr>
        <w:t>სექტემბრის</w:t>
      </w:r>
      <w:r w:rsidR="00B870DF"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პერიოდში შეადგინა </w:t>
      </w:r>
      <w:r w:rsidR="00B870DF">
        <w:rPr>
          <w:rFonts w:ascii="Segoe UI" w:hAnsi="Segoe UI" w:cs="Segoe UI"/>
          <w:sz w:val="20"/>
          <w:szCs w:val="20"/>
          <w:lang w:val="ka-GE"/>
        </w:rPr>
        <w:t>18.7</w:t>
      </w:r>
      <w:r w:rsidR="00B870DF"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პროცენტი. ექსპორტის სწრაფი აღდგენის მიუხედავად, ტურიზმის აღდგენა საჭიროებს მეტ დროს და მნიშნელოვნად არის დამოკიდებული ვაქცინაციის პროცესზე. 2021 წლის </w:t>
      </w:r>
      <w:r w:rsidR="00BA574F" w:rsidRPr="00850E6B">
        <w:rPr>
          <w:rFonts w:ascii="Segoe UI" w:hAnsi="Segoe UI" w:cs="Segoe UI"/>
          <w:sz w:val="20"/>
          <w:szCs w:val="20"/>
          <w:lang w:val="ka-GE"/>
        </w:rPr>
        <w:t>იანვარ-</w:t>
      </w:r>
      <w:r w:rsidR="00BA574F">
        <w:rPr>
          <w:rFonts w:ascii="Segoe UI" w:hAnsi="Segoe UI" w:cs="Segoe UI"/>
          <w:sz w:val="20"/>
          <w:szCs w:val="20"/>
          <w:lang w:val="ka-GE"/>
        </w:rPr>
        <w:t>სექტემბრის</w:t>
      </w:r>
      <w:r w:rsidR="00BA574F" w:rsidRPr="00850E6B">
        <w:rPr>
          <w:rFonts w:ascii="Segoe UI" w:hAnsi="Segoe UI" w:cs="Segoe UI"/>
          <w:sz w:val="20"/>
          <w:szCs w:val="20"/>
          <w:lang w:val="ka-GE"/>
        </w:rPr>
        <w:t xml:space="preserve"> </w:t>
      </w:r>
      <w:r w:rsidRPr="00850E6B">
        <w:rPr>
          <w:rFonts w:ascii="Segoe UI" w:hAnsi="Segoe UI" w:cs="Segoe UI"/>
          <w:sz w:val="20"/>
          <w:szCs w:val="20"/>
          <w:lang w:val="ka-GE"/>
        </w:rPr>
        <w:t>მდგომარეობით, ტურიზმიდან მ</w:t>
      </w:r>
      <w:r w:rsidR="007548B6">
        <w:rPr>
          <w:rFonts w:ascii="Segoe UI" w:hAnsi="Segoe UI" w:cs="Segoe UI"/>
          <w:sz w:val="20"/>
          <w:szCs w:val="20"/>
          <w:lang w:val="ka-GE"/>
        </w:rPr>
        <w:t>ი</w:t>
      </w:r>
      <w:r w:rsidRPr="00850E6B">
        <w:rPr>
          <w:rFonts w:ascii="Segoe UI" w:hAnsi="Segoe UI" w:cs="Segoe UI"/>
          <w:sz w:val="20"/>
          <w:szCs w:val="20"/>
          <w:lang w:val="ka-GE"/>
        </w:rPr>
        <w:t>ღებულ</w:t>
      </w:r>
      <w:r w:rsidR="003956DA" w:rsidRPr="00850E6B">
        <w:rPr>
          <w:rFonts w:ascii="Segoe UI" w:hAnsi="Segoe UI" w:cs="Segoe UI"/>
          <w:sz w:val="20"/>
          <w:szCs w:val="20"/>
          <w:lang w:val="ka-GE"/>
        </w:rPr>
        <w:t>მა</w:t>
      </w:r>
      <w:r w:rsidRPr="00850E6B">
        <w:rPr>
          <w:rFonts w:ascii="Segoe UI" w:hAnsi="Segoe UI" w:cs="Segoe UI"/>
          <w:sz w:val="20"/>
          <w:szCs w:val="20"/>
          <w:lang w:val="ka-GE"/>
        </w:rPr>
        <w:t xml:space="preserve"> შემოსავალ</w:t>
      </w:r>
      <w:r w:rsidR="003956DA" w:rsidRPr="00850E6B">
        <w:rPr>
          <w:rFonts w:ascii="Segoe UI" w:hAnsi="Segoe UI" w:cs="Segoe UI"/>
          <w:sz w:val="20"/>
          <w:szCs w:val="20"/>
          <w:lang w:val="ka-GE"/>
        </w:rPr>
        <w:t>მა</w:t>
      </w:r>
      <w:r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გადააჭარბა </w:t>
      </w:r>
      <w:r w:rsidRPr="00850E6B">
        <w:rPr>
          <w:rFonts w:ascii="Segoe UI" w:hAnsi="Segoe UI" w:cs="Segoe UI"/>
          <w:sz w:val="20"/>
          <w:szCs w:val="20"/>
          <w:lang w:val="ka-GE"/>
        </w:rPr>
        <w:t xml:space="preserve">2020 წლის </w:t>
      </w:r>
      <w:r w:rsidR="00BA574F">
        <w:rPr>
          <w:rFonts w:ascii="Segoe UI" w:hAnsi="Segoe UI" w:cs="Segoe UI"/>
          <w:sz w:val="20"/>
          <w:szCs w:val="20"/>
          <w:lang w:val="ka-GE"/>
        </w:rPr>
        <w:t>შესაბამის</w:t>
      </w:r>
      <w:r w:rsidR="00BA574F"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მაჩვენებელს </w:t>
      </w:r>
      <w:r w:rsidR="00BA574F">
        <w:rPr>
          <w:rFonts w:ascii="Segoe UI" w:hAnsi="Segoe UI" w:cs="Segoe UI"/>
          <w:sz w:val="20"/>
          <w:szCs w:val="20"/>
          <w:lang w:val="ka-GE"/>
        </w:rPr>
        <w:t>73.5</w:t>
      </w:r>
      <w:r w:rsidR="003956DA" w:rsidRPr="00850E6B">
        <w:rPr>
          <w:rFonts w:ascii="Segoe UI" w:hAnsi="Segoe UI" w:cs="Segoe UI"/>
          <w:sz w:val="20"/>
          <w:szCs w:val="20"/>
          <w:lang w:val="ka-GE"/>
        </w:rPr>
        <w:t xml:space="preserve"> პროცენტით,</w:t>
      </w:r>
      <w:r w:rsidRPr="00850E6B">
        <w:rPr>
          <w:rFonts w:ascii="Segoe UI" w:hAnsi="Segoe UI" w:cs="Segoe UI"/>
          <w:sz w:val="20"/>
          <w:szCs w:val="20"/>
          <w:lang w:val="ka-GE"/>
        </w:rPr>
        <w:t xml:space="preserve"> ხოლო 2019 წლის </w:t>
      </w:r>
      <w:r w:rsidR="00E76055">
        <w:rPr>
          <w:rFonts w:ascii="Segoe UI" w:hAnsi="Segoe UI" w:cs="Segoe UI"/>
          <w:sz w:val="20"/>
          <w:szCs w:val="20"/>
          <w:lang w:val="ka-GE"/>
        </w:rPr>
        <w:t>შესაბამის</w:t>
      </w:r>
      <w:r w:rsidR="00F17ADE">
        <w:rPr>
          <w:rFonts w:ascii="Segoe UI" w:hAnsi="Segoe UI" w:cs="Segoe UI"/>
          <w:sz w:val="20"/>
          <w:szCs w:val="20"/>
          <w:lang w:val="ka-GE"/>
        </w:rPr>
        <w:t>ი</w:t>
      </w:r>
      <w:r w:rsidR="00E76055" w:rsidRPr="00850E6B">
        <w:rPr>
          <w:rFonts w:ascii="Segoe UI" w:hAnsi="Segoe UI" w:cs="Segoe UI"/>
          <w:sz w:val="20"/>
          <w:szCs w:val="20"/>
          <w:lang w:val="ka-GE"/>
        </w:rPr>
        <w:t xml:space="preserve"> </w:t>
      </w:r>
      <w:r w:rsidR="003956DA" w:rsidRPr="00850E6B">
        <w:rPr>
          <w:rFonts w:ascii="Segoe UI" w:hAnsi="Segoe UI" w:cs="Segoe UI"/>
          <w:sz w:val="20"/>
          <w:szCs w:val="20"/>
          <w:lang w:val="ka-GE"/>
        </w:rPr>
        <w:t xml:space="preserve">მაჩვენებლის </w:t>
      </w:r>
      <w:r w:rsidR="00E76055">
        <w:rPr>
          <w:rFonts w:ascii="Segoe UI" w:hAnsi="Segoe UI" w:cs="Segoe UI"/>
          <w:sz w:val="20"/>
          <w:szCs w:val="20"/>
          <w:lang w:val="ka-GE"/>
        </w:rPr>
        <w:t>33.5</w:t>
      </w:r>
      <w:r w:rsidR="003956DA" w:rsidRPr="00850E6B">
        <w:rPr>
          <w:rFonts w:ascii="Segoe UI" w:hAnsi="Segoe UI" w:cs="Segoe UI"/>
          <w:sz w:val="20"/>
          <w:szCs w:val="20"/>
          <w:lang w:val="ka-GE"/>
        </w:rPr>
        <w:t xml:space="preserve"> პროცენტი შეადგინა.</w:t>
      </w:r>
      <w:r w:rsidRPr="00850E6B">
        <w:rPr>
          <w:rFonts w:ascii="Segoe UI" w:hAnsi="Segoe UI" w:cs="Segoe UI"/>
          <w:sz w:val="20"/>
          <w:szCs w:val="20"/>
          <w:lang w:val="ka-GE"/>
        </w:rPr>
        <w:t xml:space="preserve"> </w:t>
      </w:r>
      <w:r w:rsidRPr="00850E6B">
        <w:rPr>
          <w:rFonts w:ascii="Segoe UI" w:hAnsi="Segoe UI" w:cs="Segoe UI"/>
          <w:sz w:val="20"/>
          <w:szCs w:val="20"/>
        </w:rPr>
        <w:t xml:space="preserve">2021 </w:t>
      </w:r>
      <w:r w:rsidRPr="00850E6B">
        <w:rPr>
          <w:rFonts w:ascii="Segoe UI" w:hAnsi="Segoe UI" w:cs="Segoe UI"/>
          <w:sz w:val="20"/>
          <w:szCs w:val="20"/>
          <w:lang w:val="ka-GE"/>
        </w:rPr>
        <w:t>წლის პირველი კვარტლის მდგომარეობით, მიმდინარე ანგარიშის დეფიციტის შეფარდება მშპ-სთან უდრის 10.</w:t>
      </w:r>
      <w:r w:rsidR="00312EB9">
        <w:rPr>
          <w:rFonts w:ascii="Segoe UI" w:hAnsi="Segoe UI" w:cs="Segoe UI"/>
          <w:sz w:val="20"/>
          <w:szCs w:val="20"/>
          <w:lang w:val="ka-GE"/>
        </w:rPr>
        <w:t>8</w:t>
      </w:r>
      <w:r w:rsidRPr="00850E6B">
        <w:rPr>
          <w:rFonts w:ascii="Segoe UI" w:hAnsi="Segoe UI" w:cs="Segoe UI"/>
          <w:sz w:val="20"/>
          <w:szCs w:val="20"/>
          <w:lang w:val="ka-GE"/>
        </w:rPr>
        <w:t xml:space="preserve"> პროცენტს, </w:t>
      </w:r>
      <w:r w:rsidR="00312EB9" w:rsidRPr="00E23440">
        <w:rPr>
          <w:rFonts w:ascii="Segoe UI" w:hAnsi="Segoe UI" w:cs="Segoe UI"/>
          <w:sz w:val="20"/>
          <w:szCs w:val="20"/>
          <w:lang w:val="ka-GE"/>
        </w:rPr>
        <w:t>ხოლო მე</w:t>
      </w:r>
      <w:r w:rsidR="00312EB9">
        <w:rPr>
          <w:rFonts w:ascii="Segoe UI" w:hAnsi="Segoe UI" w:cs="Segoe UI"/>
          <w:sz w:val="20"/>
          <w:szCs w:val="20"/>
          <w:lang w:val="ka-GE"/>
        </w:rPr>
        <w:t xml:space="preserve">ორე </w:t>
      </w:r>
      <w:r w:rsidR="00312EB9" w:rsidRPr="00E23440">
        <w:rPr>
          <w:rFonts w:ascii="Segoe UI" w:hAnsi="Segoe UI" w:cs="Segoe UI"/>
          <w:sz w:val="20"/>
          <w:szCs w:val="20"/>
          <w:lang w:val="ka-GE"/>
        </w:rPr>
        <w:t xml:space="preserve">კვარტალში </w:t>
      </w:r>
      <w:r w:rsidR="00312EB9">
        <w:rPr>
          <w:rFonts w:ascii="Segoe UI" w:hAnsi="Segoe UI" w:cs="Segoe UI"/>
          <w:sz w:val="20"/>
          <w:szCs w:val="20"/>
          <w:lang w:val="ka-GE"/>
        </w:rPr>
        <w:t>დეფიციტმა 8 პროცენტი შეადგინა</w:t>
      </w:r>
      <w:r w:rsidR="00312EB9" w:rsidRPr="00E23440">
        <w:rPr>
          <w:rFonts w:ascii="Segoe UI" w:hAnsi="Segoe UI" w:cs="Segoe UI"/>
          <w:sz w:val="20"/>
          <w:szCs w:val="20"/>
          <w:lang w:val="ka-GE"/>
        </w:rPr>
        <w:t xml:space="preserve">, რაც თითქმის </w:t>
      </w:r>
      <w:r w:rsidR="00420B68">
        <w:rPr>
          <w:rFonts w:ascii="Segoe UI" w:hAnsi="Segoe UI" w:cs="Segoe UI"/>
          <w:sz w:val="20"/>
          <w:szCs w:val="20"/>
          <w:lang w:val="ka-GE"/>
        </w:rPr>
        <w:t>4</w:t>
      </w:r>
      <w:r w:rsidR="00312EB9">
        <w:rPr>
          <w:rFonts w:ascii="Segoe UI" w:hAnsi="Segoe UI" w:cs="Segoe UI"/>
          <w:sz w:val="20"/>
          <w:szCs w:val="20"/>
          <w:lang w:val="ka-GE"/>
        </w:rPr>
        <w:t xml:space="preserve"> პროცენტიანი </w:t>
      </w:r>
      <w:r w:rsidR="00312EB9" w:rsidRPr="00E23440">
        <w:rPr>
          <w:rFonts w:ascii="Segoe UI" w:hAnsi="Segoe UI" w:cs="Segoe UI"/>
          <w:sz w:val="20"/>
          <w:szCs w:val="20"/>
          <w:lang w:val="ka-GE"/>
        </w:rPr>
        <w:t xml:space="preserve">გაუმჯობესებაა 2020 წლის </w:t>
      </w:r>
      <w:r w:rsidR="00380D81">
        <w:rPr>
          <w:rFonts w:ascii="Segoe UI" w:hAnsi="Segoe UI" w:cs="Segoe UI"/>
          <w:sz w:val="20"/>
          <w:szCs w:val="20"/>
          <w:lang w:val="ka-GE"/>
        </w:rPr>
        <w:t>მეორე</w:t>
      </w:r>
      <w:r w:rsidR="00312EB9" w:rsidRPr="00E23440">
        <w:rPr>
          <w:rFonts w:ascii="Segoe UI" w:hAnsi="Segoe UI" w:cs="Segoe UI"/>
          <w:sz w:val="20"/>
          <w:szCs w:val="20"/>
          <w:lang w:val="ka-GE"/>
        </w:rPr>
        <w:t xml:space="preserve"> კვარტალთან შედარებით, როდესაც მიმდინარე ანგარიშის დეფიციტმა 1</w:t>
      </w:r>
      <w:r w:rsidR="00380D81" w:rsidRPr="000C0D25">
        <w:rPr>
          <w:rFonts w:ascii="Segoe UI" w:hAnsi="Segoe UI" w:cs="Segoe UI"/>
          <w:sz w:val="20"/>
          <w:szCs w:val="20"/>
          <w:lang w:val="ka-GE"/>
        </w:rPr>
        <w:t>1.8</w:t>
      </w:r>
      <w:r w:rsidR="00312EB9">
        <w:rPr>
          <w:rFonts w:ascii="Segoe UI" w:hAnsi="Segoe UI" w:cs="Segoe UI"/>
          <w:sz w:val="20"/>
          <w:szCs w:val="20"/>
          <w:lang w:val="ka-GE"/>
        </w:rPr>
        <w:t xml:space="preserve"> პროცენტს</w:t>
      </w:r>
      <w:r w:rsidR="00312EB9" w:rsidRPr="00E23440">
        <w:rPr>
          <w:rFonts w:ascii="Segoe UI" w:hAnsi="Segoe UI" w:cs="Segoe UI"/>
          <w:sz w:val="20"/>
          <w:szCs w:val="20"/>
          <w:lang w:val="ka-GE"/>
        </w:rPr>
        <w:t xml:space="preserve"> მიაღწია. მიმდინარე ანგარიშის დეფიციტის  გაუმჯობესება გამოწვეულია მომსახურების ექსპორტის მატებით, რაც განპირობებულია ტურიზმის ეტაპობრივი აღდგენით. ასევე საგრძნობი ზრდაა მიმდინარე ტრან</w:t>
      </w:r>
      <w:r w:rsidR="000601CB">
        <w:rPr>
          <w:rFonts w:ascii="Segoe UI" w:hAnsi="Segoe UI" w:cs="Segoe UI"/>
          <w:sz w:val="20"/>
          <w:szCs w:val="20"/>
          <w:lang w:val="ka-GE"/>
        </w:rPr>
        <w:t>ფ</w:t>
      </w:r>
      <w:r w:rsidR="00312EB9" w:rsidRPr="00E23440">
        <w:rPr>
          <w:rFonts w:ascii="Segoe UI" w:hAnsi="Segoe UI" w:cs="Segoe UI"/>
          <w:sz w:val="20"/>
          <w:szCs w:val="20"/>
          <w:lang w:val="ka-GE"/>
        </w:rPr>
        <w:t>ერებში</w:t>
      </w:r>
      <w:r w:rsidR="00312EB9">
        <w:rPr>
          <w:noProof/>
          <w:sz w:val="20"/>
          <w:szCs w:val="20"/>
          <w:lang w:val="ka-GE"/>
        </w:rPr>
        <w:t>.</w:t>
      </w:r>
      <w:r w:rsidRPr="00850E6B">
        <w:rPr>
          <w:rFonts w:ascii="Segoe UI" w:hAnsi="Segoe UI" w:cs="Segoe UI"/>
          <w:sz w:val="20"/>
          <w:szCs w:val="20"/>
          <w:lang w:val="ka-GE"/>
        </w:rPr>
        <w:t xml:space="preserve"> საქონლით ვაჭრობის დეფიციტი</w:t>
      </w:r>
      <w:r w:rsidR="00312EB9">
        <w:rPr>
          <w:rFonts w:ascii="Segoe UI" w:hAnsi="Segoe UI" w:cs="Segoe UI"/>
          <w:sz w:val="20"/>
          <w:szCs w:val="20"/>
          <w:lang w:val="ka-GE"/>
        </w:rPr>
        <w:t xml:space="preserve"> მეორე კვარტალში, წინა წლის ანალოგიურ პერიოდთან შედარებით,</w:t>
      </w:r>
      <w:r w:rsidRPr="00850E6B">
        <w:rPr>
          <w:rFonts w:ascii="Segoe UI" w:hAnsi="Segoe UI" w:cs="Segoe UI"/>
          <w:sz w:val="20"/>
          <w:szCs w:val="20"/>
          <w:lang w:val="ka-GE"/>
        </w:rPr>
        <w:t xml:space="preserve"> შემცირდა მშპ-ს </w:t>
      </w:r>
      <w:r w:rsidR="00312EB9">
        <w:rPr>
          <w:rFonts w:ascii="Segoe UI" w:hAnsi="Segoe UI" w:cs="Segoe UI"/>
          <w:sz w:val="20"/>
          <w:szCs w:val="20"/>
          <w:lang w:val="ka-GE"/>
        </w:rPr>
        <w:t>17.3</w:t>
      </w:r>
      <w:r w:rsidRPr="00850E6B">
        <w:rPr>
          <w:rFonts w:ascii="Segoe UI" w:hAnsi="Segoe UI" w:cs="Segoe UI"/>
          <w:sz w:val="20"/>
          <w:szCs w:val="20"/>
          <w:lang w:val="ka-GE"/>
        </w:rPr>
        <w:t xml:space="preserve"> პროცენტიდან მშპ-ს </w:t>
      </w:r>
      <w:r w:rsidR="00312EB9">
        <w:rPr>
          <w:rFonts w:ascii="Segoe UI" w:hAnsi="Segoe UI" w:cs="Segoe UI"/>
          <w:sz w:val="20"/>
          <w:szCs w:val="20"/>
          <w:lang w:val="ka-GE"/>
        </w:rPr>
        <w:t>17.1</w:t>
      </w:r>
      <w:r w:rsidRPr="00850E6B">
        <w:rPr>
          <w:rFonts w:ascii="Segoe UI" w:hAnsi="Segoe UI" w:cs="Segoe UI"/>
          <w:sz w:val="20"/>
          <w:szCs w:val="20"/>
          <w:lang w:val="ka-GE"/>
        </w:rPr>
        <w:t xml:space="preserve"> პროცენტამდე, ხოლო მომსახურებით ვაჭრობის ბალანსი </w:t>
      </w:r>
      <w:r w:rsidR="00312EB9">
        <w:rPr>
          <w:rFonts w:ascii="Segoe UI" w:hAnsi="Segoe UI" w:cs="Segoe UI"/>
          <w:sz w:val="20"/>
          <w:szCs w:val="20"/>
          <w:lang w:val="ka-GE"/>
        </w:rPr>
        <w:t>გაიზარდა</w:t>
      </w:r>
      <w:r w:rsidR="00312EB9" w:rsidRPr="00850E6B">
        <w:rPr>
          <w:rFonts w:ascii="Segoe UI" w:hAnsi="Segoe UI" w:cs="Segoe UI"/>
          <w:sz w:val="20"/>
          <w:szCs w:val="20"/>
          <w:lang w:val="ka-GE"/>
        </w:rPr>
        <w:t xml:space="preserve"> </w:t>
      </w:r>
      <w:r w:rsidRPr="00850E6B">
        <w:rPr>
          <w:rFonts w:ascii="Segoe UI" w:hAnsi="Segoe UI" w:cs="Segoe UI"/>
          <w:sz w:val="20"/>
          <w:szCs w:val="20"/>
          <w:lang w:val="ka-GE"/>
        </w:rPr>
        <w:t xml:space="preserve">მშპ-ს </w:t>
      </w:r>
      <w:r w:rsidR="00312EB9">
        <w:rPr>
          <w:rFonts w:ascii="Segoe UI" w:hAnsi="Segoe UI" w:cs="Segoe UI"/>
          <w:sz w:val="20"/>
          <w:szCs w:val="20"/>
          <w:lang w:val="ka-GE"/>
        </w:rPr>
        <w:t>0.2</w:t>
      </w:r>
      <w:r w:rsidRPr="00850E6B">
        <w:rPr>
          <w:rFonts w:ascii="Segoe UI" w:hAnsi="Segoe UI" w:cs="Segoe UI"/>
          <w:sz w:val="20"/>
          <w:szCs w:val="20"/>
          <w:lang w:val="ka-GE"/>
        </w:rPr>
        <w:t xml:space="preserve"> პროცენტიდან მშპ-ს </w:t>
      </w:r>
      <w:r w:rsidR="00312EB9">
        <w:rPr>
          <w:rFonts w:ascii="Segoe UI" w:hAnsi="Segoe UI" w:cs="Segoe UI"/>
          <w:sz w:val="20"/>
          <w:szCs w:val="20"/>
          <w:lang w:val="ka-GE"/>
        </w:rPr>
        <w:t>3</w:t>
      </w:r>
      <w:r w:rsidRPr="00850E6B">
        <w:rPr>
          <w:rFonts w:ascii="Segoe UI" w:hAnsi="Segoe UI" w:cs="Segoe UI"/>
          <w:sz w:val="20"/>
          <w:szCs w:val="20"/>
          <w:lang w:val="ka-GE"/>
        </w:rPr>
        <w:t xml:space="preserve"> პროცენტამდე. მნიშვნელოვნად გაიზარდა პირდაპირი ტრანსფერები (მეორადი შემოსავალი), მშპ-ს 9.</w:t>
      </w:r>
      <w:r w:rsidR="00380D81">
        <w:rPr>
          <w:rFonts w:ascii="Segoe UI" w:hAnsi="Segoe UI" w:cs="Segoe UI"/>
          <w:sz w:val="20"/>
          <w:szCs w:val="20"/>
          <w:lang w:val="ka-GE"/>
        </w:rPr>
        <w:t>6</w:t>
      </w:r>
      <w:r w:rsidRPr="00850E6B">
        <w:rPr>
          <w:rFonts w:ascii="Segoe UI" w:hAnsi="Segoe UI" w:cs="Segoe UI"/>
          <w:sz w:val="20"/>
          <w:szCs w:val="20"/>
          <w:lang w:val="ka-GE"/>
        </w:rPr>
        <w:t xml:space="preserve"> პროცენტიდან </w:t>
      </w:r>
      <w:r w:rsidR="00380D81">
        <w:rPr>
          <w:rFonts w:ascii="Segoe UI" w:hAnsi="Segoe UI" w:cs="Segoe UI"/>
          <w:sz w:val="20"/>
          <w:szCs w:val="20"/>
          <w:lang w:val="ka-GE"/>
        </w:rPr>
        <w:t>11.2</w:t>
      </w:r>
      <w:r w:rsidRPr="00850E6B">
        <w:rPr>
          <w:rFonts w:ascii="Segoe UI" w:hAnsi="Segoe UI" w:cs="Segoe UI"/>
          <w:sz w:val="20"/>
          <w:szCs w:val="20"/>
          <w:lang w:val="ka-GE"/>
        </w:rPr>
        <w:t xml:space="preserve"> პროცენტამდე, ხოლო პირველადი შემოსავლის ბალანსი </w:t>
      </w:r>
      <w:r w:rsidR="00380D81">
        <w:rPr>
          <w:rFonts w:ascii="Segoe UI" w:hAnsi="Segoe UI" w:cs="Segoe UI"/>
          <w:sz w:val="20"/>
          <w:szCs w:val="20"/>
          <w:lang w:val="ka-GE"/>
        </w:rPr>
        <w:t>მცირედით გაუარესდა</w:t>
      </w:r>
      <w:r w:rsidRPr="00850E6B">
        <w:rPr>
          <w:rFonts w:ascii="Segoe UI" w:hAnsi="Segoe UI" w:cs="Segoe UI"/>
          <w:sz w:val="20"/>
          <w:szCs w:val="20"/>
          <w:lang w:val="ka-GE"/>
        </w:rPr>
        <w:t>, მშპ-ს -4.</w:t>
      </w:r>
      <w:r w:rsidR="00380D81">
        <w:rPr>
          <w:rFonts w:ascii="Segoe UI" w:hAnsi="Segoe UI" w:cs="Segoe UI"/>
          <w:sz w:val="20"/>
          <w:szCs w:val="20"/>
          <w:lang w:val="ka-GE"/>
        </w:rPr>
        <w:t>2</w:t>
      </w:r>
      <w:r w:rsidRPr="00850E6B">
        <w:rPr>
          <w:rFonts w:ascii="Segoe UI" w:hAnsi="Segoe UI" w:cs="Segoe UI"/>
          <w:sz w:val="20"/>
          <w:szCs w:val="20"/>
          <w:lang w:val="ka-GE"/>
        </w:rPr>
        <w:t xml:space="preserve"> პროცენტიდან მშპ-ს -</w:t>
      </w:r>
      <w:r w:rsidR="00380D81">
        <w:rPr>
          <w:rFonts w:ascii="Segoe UI" w:hAnsi="Segoe UI" w:cs="Segoe UI"/>
          <w:sz w:val="20"/>
          <w:szCs w:val="20"/>
          <w:lang w:val="ka-GE"/>
        </w:rPr>
        <w:t xml:space="preserve">5.1 </w:t>
      </w:r>
      <w:r w:rsidRPr="00850E6B">
        <w:rPr>
          <w:rFonts w:ascii="Segoe UI" w:hAnsi="Segoe UI" w:cs="Segoe UI"/>
          <w:sz w:val="20"/>
          <w:szCs w:val="20"/>
          <w:lang w:val="ka-GE"/>
        </w:rPr>
        <w:t xml:space="preserve">პროცენტამდე. </w:t>
      </w:r>
      <w:r w:rsidR="000C0D25" w:rsidRPr="00E23440">
        <w:rPr>
          <w:rFonts w:ascii="Segoe UI" w:hAnsi="Segoe UI" w:cs="Segoe UI"/>
          <w:sz w:val="20"/>
          <w:szCs w:val="20"/>
          <w:lang w:val="ka-GE"/>
        </w:rPr>
        <w:t>2021 წლის მეორე კვარტლის მდგომარეობით, უკეთესობისკენაა შეცვლილი მიმდინარე ანგარიშის დეფიციტის დაფინანსება. კერძოდ მიმდინარე ანგარიშის დეფიციტის კლების ფონზე გაიზარდა FDI-ის წილი მის დაფინანსებაში 1.4 პპ-იდან 3.1 პპ-ამდე, ხოლო ვალის წვლილი შემცირდა 9.3 პპ-დან 4.8 პპ-ამდე</w:t>
      </w:r>
      <w:r w:rsidRPr="00850E6B">
        <w:rPr>
          <w:rFonts w:ascii="Segoe UI" w:hAnsi="Segoe UI" w:cs="Segoe UI"/>
          <w:sz w:val="20"/>
          <w:szCs w:val="20"/>
          <w:lang w:val="ka-GE"/>
        </w:rPr>
        <w:t>.  2021 წლისთვის მიმდინარე ანგარიშის დეფიციტის პროგნოზი მშპ-ს</w:t>
      </w:r>
      <w:r w:rsidR="00C83535">
        <w:rPr>
          <w:rFonts w:ascii="Segoe UI" w:hAnsi="Segoe UI" w:cs="Segoe UI"/>
          <w:sz w:val="20"/>
          <w:szCs w:val="20"/>
          <w:lang w:val="ka-GE"/>
        </w:rPr>
        <w:t xml:space="preserve"> 9</w:t>
      </w:r>
      <w:r w:rsidRPr="00850E6B">
        <w:rPr>
          <w:rFonts w:ascii="Segoe UI" w:hAnsi="Segoe UI" w:cs="Segoe UI"/>
          <w:sz w:val="20"/>
          <w:szCs w:val="20"/>
          <w:lang w:val="ka-GE"/>
        </w:rPr>
        <w:t>.</w:t>
      </w:r>
      <w:r w:rsidR="00DA2ECE">
        <w:rPr>
          <w:rFonts w:ascii="Segoe UI" w:hAnsi="Segoe UI" w:cs="Segoe UI"/>
          <w:sz w:val="20"/>
          <w:szCs w:val="20"/>
          <w:lang w:val="ka-GE"/>
        </w:rPr>
        <w:t>4</w:t>
      </w:r>
      <w:r w:rsidRPr="00850E6B">
        <w:rPr>
          <w:rFonts w:ascii="Segoe UI" w:hAnsi="Segoe UI" w:cs="Segoe UI"/>
          <w:sz w:val="20"/>
          <w:szCs w:val="20"/>
          <w:lang w:val="ka-GE"/>
        </w:rPr>
        <w:t xml:space="preserve"> პროცენტს შეადგენს. </w:t>
      </w:r>
    </w:p>
    <w:p w:rsidR="00D73B98" w:rsidRPr="00850E6B" w:rsidRDefault="00D73B98" w:rsidP="00D73B98">
      <w:pPr>
        <w:spacing w:after="0"/>
        <w:jc w:val="both"/>
        <w:rPr>
          <w:rFonts w:ascii="Segoe UI" w:hAnsi="Segoe UI" w:cs="Segoe UI"/>
          <w:sz w:val="20"/>
          <w:szCs w:val="20"/>
          <w:lang w:val="ka-GE"/>
        </w:rPr>
      </w:pPr>
      <w:r w:rsidRPr="00850E6B">
        <w:rPr>
          <w:rFonts w:ascii="Segoe UI" w:hAnsi="Segoe UI" w:cs="Segoe UI"/>
          <w:sz w:val="20"/>
          <w:szCs w:val="20"/>
          <w:lang w:val="ka-GE"/>
        </w:rPr>
        <w:t>დიაგრამა 4: მიმდინარე ანგარიშის დეფიციტი</w:t>
      </w:r>
      <w:r w:rsidRPr="00850E6B">
        <w:rPr>
          <w:rFonts w:ascii="Segoe UI" w:hAnsi="Segoe UI" w:cs="Segoe UI"/>
          <w:sz w:val="20"/>
          <w:szCs w:val="20"/>
        </w:rPr>
        <w:t xml:space="preserve">, </w:t>
      </w:r>
      <w:r w:rsidRPr="00850E6B">
        <w:rPr>
          <w:rFonts w:ascii="Segoe UI" w:hAnsi="Segoe UI" w:cs="Segoe UI"/>
          <w:sz w:val="20"/>
          <w:szCs w:val="20"/>
          <w:lang w:val="ka-GE"/>
        </w:rPr>
        <w:t>%-ად მშპ-თან</w:t>
      </w:r>
    </w:p>
    <w:p w:rsidR="00E74303" w:rsidRPr="00D73B98" w:rsidRDefault="00814ED7" w:rsidP="00850E6B">
      <w:pPr>
        <w:tabs>
          <w:tab w:val="left" w:pos="900"/>
        </w:tabs>
        <w:spacing w:after="0"/>
        <w:rPr>
          <w:rFonts w:ascii="Sylfaen" w:hAnsi="Sylfaen"/>
        </w:rPr>
      </w:pPr>
      <w:r w:rsidRPr="00814ED7">
        <w:rPr>
          <w:rFonts w:ascii="Sylfaen" w:hAnsi="Sylfaen"/>
          <w:noProof/>
        </w:rPr>
        <w:drawing>
          <wp:inline distT="0" distB="0" distL="0" distR="0" wp14:anchorId="1B423B6F" wp14:editId="744E3D34">
            <wp:extent cx="6588000" cy="3060000"/>
            <wp:effectExtent l="0" t="0" r="3810" b="7620"/>
            <wp:docPr id="2" name="Chart 2">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3B98" w:rsidRDefault="00D73B98" w:rsidP="00D73B98">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საქსტატი, საქართველოს ფინანსთა სამინისტრო</w:t>
      </w:r>
    </w:p>
    <w:p w:rsidR="007117FC" w:rsidRPr="007117FC" w:rsidRDefault="007117FC" w:rsidP="007117FC">
      <w:pPr>
        <w:rPr>
          <w:rFonts w:ascii="Sylfaen" w:hAnsi="Sylfaen"/>
          <w:lang w:val="ka-GE"/>
        </w:rPr>
      </w:pP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1101A1" w:rsidRPr="00B97C49" w:rsidRDefault="00004DED" w:rsidP="000A4D4A">
      <w:pPr>
        <w:spacing w:line="276" w:lineRule="auto"/>
        <w:ind w:firstLine="540"/>
        <w:jc w:val="both"/>
        <w:rPr>
          <w:rFonts w:ascii="Segoe UI" w:hAnsi="Segoe UI" w:cs="Segoe UI"/>
          <w:sz w:val="20"/>
          <w:szCs w:val="20"/>
          <w:lang w:val="ka-GE"/>
        </w:rPr>
      </w:pPr>
      <w:r w:rsidRPr="00B97C49">
        <w:rPr>
          <w:rFonts w:ascii="Segoe UI" w:hAnsi="Segoe UI" w:cs="Segoe UI"/>
          <w:sz w:val="20"/>
          <w:szCs w:val="20"/>
          <w:lang w:val="ka-GE"/>
        </w:rPr>
        <w:t xml:space="preserve">2020 წლის განმავლობაში </w:t>
      </w:r>
      <w:r w:rsidR="00115AC6" w:rsidRPr="00B97C49">
        <w:rPr>
          <w:rFonts w:ascii="Segoe UI" w:hAnsi="Segoe UI" w:cs="Segoe UI"/>
          <w:sz w:val="20"/>
          <w:szCs w:val="20"/>
          <w:lang w:val="ka-GE"/>
        </w:rPr>
        <w:t xml:space="preserve">არსებობდა </w:t>
      </w:r>
      <w:r w:rsidR="00C83535">
        <w:rPr>
          <w:rFonts w:ascii="Segoe UI" w:hAnsi="Segoe UI" w:cs="Segoe UI"/>
          <w:sz w:val="20"/>
          <w:szCs w:val="20"/>
          <w:lang w:val="ka-GE"/>
        </w:rPr>
        <w:t>არაფორმალური</w:t>
      </w:r>
      <w:r w:rsidR="00115AC6" w:rsidRPr="00B97C49">
        <w:rPr>
          <w:rFonts w:ascii="Segoe UI" w:hAnsi="Segoe UI" w:cs="Segoe UI"/>
          <w:sz w:val="20"/>
          <w:szCs w:val="20"/>
          <w:lang w:val="ka-GE"/>
        </w:rPr>
        <w:t xml:space="preserve"> კონსენსუსი ანალიტ</w:t>
      </w:r>
      <w:r w:rsidR="00C83535">
        <w:rPr>
          <w:rFonts w:ascii="Segoe UI" w:hAnsi="Segoe UI" w:cs="Segoe UI"/>
          <w:sz w:val="20"/>
          <w:szCs w:val="20"/>
          <w:lang w:val="ka-GE"/>
        </w:rPr>
        <w:t>იკ</w:t>
      </w:r>
      <w:r w:rsidR="00115AC6" w:rsidRPr="00B97C49">
        <w:rPr>
          <w:rFonts w:ascii="Segoe UI" w:hAnsi="Segoe UI" w:cs="Segoe UI"/>
          <w:sz w:val="20"/>
          <w:szCs w:val="20"/>
          <w:lang w:val="ka-GE"/>
        </w:rPr>
        <w:t>ო</w:t>
      </w:r>
      <w:r w:rsidR="00C83535">
        <w:rPr>
          <w:rFonts w:ascii="Segoe UI" w:hAnsi="Segoe UI" w:cs="Segoe UI"/>
          <w:sz w:val="20"/>
          <w:szCs w:val="20"/>
          <w:lang w:val="ka-GE"/>
        </w:rPr>
        <w:t>ს</w:t>
      </w:r>
      <w:r w:rsidR="00115AC6" w:rsidRPr="00B97C49">
        <w:rPr>
          <w:rFonts w:ascii="Segoe UI" w:hAnsi="Segoe UI" w:cs="Segoe UI"/>
          <w:sz w:val="20"/>
          <w:szCs w:val="20"/>
          <w:lang w:val="ka-GE"/>
        </w:rPr>
        <w:t xml:space="preserve">ებს შორის, რომ აღნიშნულ კრიზისს ექნებოდა უმეტესწილად </w:t>
      </w:r>
      <w:r w:rsidR="00115AC6" w:rsidRPr="00B97C49">
        <w:rPr>
          <w:rFonts w:ascii="Segoe UI" w:hAnsi="Segoe UI" w:cs="Segoe UI"/>
          <w:sz w:val="20"/>
          <w:szCs w:val="20"/>
        </w:rPr>
        <w:t xml:space="preserve">„U“, </w:t>
      </w:r>
      <w:r w:rsidR="00115AC6" w:rsidRPr="00B97C49">
        <w:rPr>
          <w:rFonts w:ascii="Segoe UI" w:hAnsi="Segoe UI" w:cs="Segoe UI"/>
          <w:sz w:val="20"/>
          <w:szCs w:val="20"/>
          <w:lang w:val="ka-GE"/>
        </w:rPr>
        <w:t>ან</w:t>
      </w:r>
      <w:r w:rsidR="00115AC6" w:rsidRPr="00B97C49">
        <w:rPr>
          <w:rFonts w:ascii="Segoe UI" w:hAnsi="Segoe UI" w:cs="Segoe UI"/>
          <w:sz w:val="20"/>
          <w:szCs w:val="20"/>
        </w:rPr>
        <w:t xml:space="preserve"> „L“ ფორმა, რაც </w:t>
      </w:r>
      <w:r w:rsidR="00115AC6" w:rsidRPr="00B97C49">
        <w:rPr>
          <w:rFonts w:ascii="Segoe UI" w:hAnsi="Segoe UI" w:cs="Segoe UI"/>
          <w:sz w:val="20"/>
          <w:szCs w:val="20"/>
          <w:lang w:val="ka-GE"/>
        </w:rPr>
        <w:t xml:space="preserve">გულისხმობს არასრულ და დროში გაწელილ აღდგენას. აღდგენის ამგვარი მოლოდინი ძირითად უკავშირდებოდა 2008-2009 წლების კრიზისთა ანალოგს. მიუხედავად ამისა, დღეისათვის განვითარებული მოვლენები უფრო მეტად აღდგენის გაცილებით სწრაფ, </w:t>
      </w:r>
      <w:r w:rsidR="00115AC6" w:rsidRPr="00B97C49">
        <w:rPr>
          <w:rFonts w:ascii="Segoe UI" w:hAnsi="Segoe UI" w:cs="Segoe UI"/>
          <w:sz w:val="20"/>
          <w:szCs w:val="20"/>
        </w:rPr>
        <w:t xml:space="preserve">„V“ </w:t>
      </w:r>
      <w:r w:rsidR="001101A1" w:rsidRPr="00B97C49">
        <w:rPr>
          <w:rFonts w:ascii="Segoe UI" w:hAnsi="Segoe UI" w:cs="Segoe UI"/>
          <w:sz w:val="20"/>
          <w:szCs w:val="20"/>
        </w:rPr>
        <w:t>ფორმა</w:t>
      </w:r>
      <w:r w:rsidR="001101A1" w:rsidRPr="00B97C49">
        <w:rPr>
          <w:rFonts w:ascii="Segoe UI" w:hAnsi="Segoe UI" w:cs="Segoe UI"/>
          <w:sz w:val="20"/>
          <w:szCs w:val="20"/>
          <w:lang w:val="ka-GE"/>
        </w:rPr>
        <w:t>სთან მიახლოებულ პერსპექტივაზე</w:t>
      </w:r>
      <w:r w:rsidR="001101A1" w:rsidRPr="00B97C49">
        <w:rPr>
          <w:rFonts w:ascii="Segoe UI" w:hAnsi="Segoe UI" w:cs="Segoe UI"/>
          <w:sz w:val="20"/>
          <w:szCs w:val="20"/>
        </w:rPr>
        <w:t xml:space="preserve"> მეტყველებს</w:t>
      </w:r>
      <w:r w:rsidR="001101A1" w:rsidRPr="00B97C49">
        <w:rPr>
          <w:rFonts w:ascii="Segoe UI" w:hAnsi="Segoe UI" w:cs="Segoe UI"/>
          <w:sz w:val="20"/>
          <w:szCs w:val="20"/>
          <w:lang w:val="ka-GE"/>
        </w:rPr>
        <w:t xml:space="preserve">. </w:t>
      </w:r>
      <w:r w:rsidR="00C04D8C" w:rsidRPr="00B97C49">
        <w:rPr>
          <w:rFonts w:ascii="Segoe UI" w:hAnsi="Segoe UI" w:cs="Segoe UI"/>
          <w:sz w:val="20"/>
          <w:szCs w:val="20"/>
          <w:lang w:val="ka-GE"/>
        </w:rPr>
        <w:t xml:space="preserve">აღნიშნული ტიპის აღდგენაზე </w:t>
      </w:r>
      <w:r w:rsidR="005966A7" w:rsidRPr="00B97C49">
        <w:rPr>
          <w:rFonts w:ascii="Segoe UI" w:hAnsi="Segoe UI" w:cs="Segoe UI"/>
          <w:sz w:val="20"/>
          <w:szCs w:val="20"/>
          <w:lang w:val="ka-GE"/>
        </w:rPr>
        <w:t>მიუთით</w:t>
      </w:r>
      <w:r w:rsidR="00C04D8C" w:rsidRPr="00B97C49">
        <w:rPr>
          <w:rFonts w:ascii="Segoe UI" w:hAnsi="Segoe UI" w:cs="Segoe UI"/>
          <w:sz w:val="20"/>
          <w:szCs w:val="20"/>
          <w:lang w:val="ka-GE"/>
        </w:rPr>
        <w:t>ებს მნიშვნელოვანი ზრდა 2021 წლის მეორე კვარტალში, როგორც 2020 წელთან (29.9 პროცენტი), ასევე 2019 წელთან (12.7 პროცენტი) შედარებით.</w:t>
      </w:r>
      <w:r w:rsidR="001D75A3" w:rsidRPr="00B97C49">
        <w:rPr>
          <w:rFonts w:ascii="Segoe UI" w:hAnsi="Segoe UI" w:cs="Segoe UI"/>
          <w:sz w:val="20"/>
          <w:szCs w:val="20"/>
          <w:lang w:val="ka-GE"/>
        </w:rPr>
        <w:t xml:space="preserve"> </w:t>
      </w:r>
      <w:r w:rsidR="00F52155">
        <w:rPr>
          <w:rFonts w:ascii="Segoe UI" w:hAnsi="Segoe UI" w:cs="Segoe UI"/>
          <w:sz w:val="20"/>
          <w:szCs w:val="20"/>
          <w:lang w:val="ka-GE"/>
        </w:rPr>
        <w:t xml:space="preserve">ამავე დროს, მნიშვნელოვანი ზრდა ასევე შეინიშნა მესამე კვარტლის წინასწარ მონაცემებში, რომლის მიხედვით, რეალური მშპ გაიზარდა 9 პროცენტით 2020 წლის შესაბამის პერიოდთან შედარებით და 4.8 პროცენტით 2019 წელთან შედარებით. </w:t>
      </w:r>
      <w:r w:rsidR="001D75A3" w:rsidRPr="00B97C49">
        <w:rPr>
          <w:rFonts w:ascii="Segoe UI" w:hAnsi="Segoe UI" w:cs="Segoe UI"/>
          <w:sz w:val="20"/>
          <w:szCs w:val="20"/>
          <w:lang w:val="ka-GE"/>
        </w:rPr>
        <w:t xml:space="preserve">შესაბამისად, </w:t>
      </w:r>
      <w:r w:rsidR="000E2360" w:rsidRPr="00B97C49">
        <w:rPr>
          <w:rFonts w:ascii="Segoe UI" w:hAnsi="Segoe UI" w:cs="Segoe UI"/>
          <w:sz w:val="20"/>
          <w:szCs w:val="20"/>
        </w:rPr>
        <w:t>„V“</w:t>
      </w:r>
      <w:r w:rsidR="000E2360" w:rsidRPr="00B97C49">
        <w:rPr>
          <w:rFonts w:ascii="Segoe UI" w:hAnsi="Segoe UI" w:cs="Segoe UI"/>
          <w:sz w:val="20"/>
          <w:szCs w:val="20"/>
          <w:lang w:val="ka-GE"/>
        </w:rPr>
        <w:t xml:space="preserve"> ფორმის აღდგენის პროცესის პირობებში, ეკონომიკა მოახდენს გრძლევადიან მდგრად დონესთან მიახლოებას იმაზე სწრაფად, ვიდრე ეს იყო მოსალოდნელი პანდემიის პერიოდის დასაწყისში. </w:t>
      </w:r>
    </w:p>
    <w:p w:rsidR="00C33EA6" w:rsidRDefault="00C33EA6" w:rsidP="000A4D4A">
      <w:pPr>
        <w:spacing w:line="276" w:lineRule="auto"/>
        <w:ind w:firstLine="540"/>
        <w:jc w:val="both"/>
        <w:rPr>
          <w:rFonts w:ascii="Sylfaen" w:hAnsi="Sylfaen" w:cs="Segoe UI"/>
          <w:sz w:val="20"/>
          <w:szCs w:val="20"/>
        </w:rPr>
      </w:pPr>
    </w:p>
    <w:p w:rsidR="00806A24" w:rsidRDefault="00806A24" w:rsidP="00954905">
      <w:pPr>
        <w:pStyle w:val="Heading1"/>
        <w:numPr>
          <w:ilvl w:val="0"/>
          <w:numId w:val="4"/>
        </w:numPr>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190D83" w:rsidRDefault="00657927" w:rsidP="00190D83">
      <w:pPr>
        <w:pStyle w:val="Heading2"/>
      </w:pPr>
      <w:r w:rsidRPr="00190D83">
        <w:t xml:space="preserve">რისკების მატერიალიზაციის ანალიზი </w:t>
      </w:r>
    </w:p>
    <w:p w:rsidR="00FA0023" w:rsidRPr="008A444E" w:rsidRDefault="00FA0023" w:rsidP="00FA0023">
      <w:pPr>
        <w:jc w:val="both"/>
        <w:rPr>
          <w:rFonts w:ascii="Segoe UI" w:hAnsi="Segoe UI" w:cs="Segoe UI"/>
          <w:lang w:val="ka-GE"/>
        </w:rPr>
      </w:pPr>
      <w:r w:rsidRPr="008A444E">
        <w:rPr>
          <w:rFonts w:ascii="Segoe UI" w:hAnsi="Segoe UI" w:cs="Segoe UI"/>
          <w:lang w:val="ka-GE"/>
        </w:rPr>
        <w:t>2021 წლის ბიუჯეტის კანონის</w:t>
      </w:r>
      <w:r w:rsidR="00A54B17">
        <w:rPr>
          <w:rFonts w:ascii="Segoe UI" w:hAnsi="Segoe UI" w:cs="Segoe UI"/>
          <w:lang w:val="ka-GE"/>
        </w:rPr>
        <w:t xml:space="preserve"> ცვლილების პროექტ</w:t>
      </w:r>
      <w:r w:rsidR="00BF1533">
        <w:rPr>
          <w:rFonts w:ascii="Segoe UI" w:hAnsi="Segoe UI" w:cs="Segoe UI"/>
          <w:lang w:val="ka-GE"/>
        </w:rPr>
        <w:t>თან</w:t>
      </w:r>
      <w:r w:rsidRPr="008A444E">
        <w:rPr>
          <w:rFonts w:ascii="Segoe UI" w:hAnsi="Segoe UI" w:cs="Segoe UI"/>
          <w:lang w:val="ka-GE"/>
        </w:rPr>
        <w:t xml:space="preserve"> თანდართულ სცენარების დოკუმენტში წარმოდგენილი</w:t>
      </w:r>
      <w:r w:rsidR="00440FFD" w:rsidRPr="008A444E">
        <w:rPr>
          <w:rFonts w:ascii="Segoe UI" w:hAnsi="Segoe UI" w:cs="Segoe UI"/>
          <w:lang w:val="ka-GE"/>
        </w:rPr>
        <w:t xml:space="preserve"> </w:t>
      </w:r>
      <w:r w:rsidR="00BF1533">
        <w:rPr>
          <w:rFonts w:ascii="Segoe UI" w:hAnsi="Segoe UI" w:cs="Segoe UI"/>
          <w:lang w:val="ka-GE"/>
        </w:rPr>
        <w:t xml:space="preserve">იყო </w:t>
      </w:r>
      <w:r w:rsidR="00440FFD" w:rsidRPr="008A444E">
        <w:rPr>
          <w:rFonts w:ascii="Segoe UI" w:hAnsi="Segoe UI" w:cs="Segoe UI"/>
          <w:lang w:val="ka-GE"/>
        </w:rPr>
        <w:t>შემდეგი რისკ ფაქტორები:</w:t>
      </w: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პანდემიის გამწვავება</w:t>
      </w:r>
    </w:p>
    <w:p w:rsidR="00440FFD" w:rsidRPr="00C201A7" w:rsidRDefault="00440FFD" w:rsidP="00E2145A">
      <w:pPr>
        <w:ind w:left="360"/>
        <w:jc w:val="both"/>
        <w:rPr>
          <w:rFonts w:ascii="Segoe UI" w:hAnsi="Segoe UI" w:cs="Segoe UI"/>
          <w:i/>
        </w:rPr>
      </w:pPr>
      <w:r w:rsidRPr="008A444E">
        <w:rPr>
          <w:rFonts w:ascii="Segoe UI" w:hAnsi="Segoe UI" w:cs="Segoe UI"/>
          <w:i/>
          <w:lang w:val="ka-GE"/>
        </w:rPr>
        <w:t>შესაძლოა ითქვას</w:t>
      </w:r>
      <w:r w:rsidR="00BF1533">
        <w:rPr>
          <w:rFonts w:ascii="Segoe UI" w:hAnsi="Segoe UI" w:cs="Segoe UI"/>
          <w:i/>
          <w:lang w:val="ka-GE"/>
        </w:rPr>
        <w:t xml:space="preserve"> </w:t>
      </w:r>
      <w:r w:rsidRPr="008A444E">
        <w:rPr>
          <w:rFonts w:ascii="Segoe UI" w:hAnsi="Segoe UI" w:cs="Segoe UI"/>
          <w:i/>
          <w:lang w:val="ka-GE"/>
        </w:rPr>
        <w:t xml:space="preserve"> რომ ეს რისკი </w:t>
      </w:r>
      <w:r w:rsidR="00BF1533">
        <w:rPr>
          <w:rFonts w:ascii="Segoe UI" w:hAnsi="Segoe UI" w:cs="Segoe UI"/>
          <w:i/>
          <w:lang w:val="ka-GE"/>
        </w:rPr>
        <w:t>ნაწილობრივ მატერიალიზდა</w:t>
      </w:r>
      <w:r w:rsidR="003B4DEE">
        <w:rPr>
          <w:rFonts w:ascii="Segoe UI" w:hAnsi="Segoe UI" w:cs="Segoe UI"/>
          <w:i/>
          <w:lang w:val="ka-GE"/>
        </w:rPr>
        <w:t>.</w:t>
      </w:r>
      <w:r w:rsidR="00BF1533">
        <w:rPr>
          <w:rFonts w:ascii="Segoe UI" w:hAnsi="Segoe UI" w:cs="Segoe UI"/>
          <w:i/>
          <w:lang w:val="ka-GE"/>
        </w:rPr>
        <w:t xml:space="preserve"> </w:t>
      </w:r>
      <w:r w:rsidR="00DB0F42">
        <w:rPr>
          <w:rFonts w:ascii="Segoe UI" w:hAnsi="Segoe UI" w:cs="Segoe UI"/>
          <w:i/>
        </w:rPr>
        <w:t xml:space="preserve">2021 </w:t>
      </w:r>
      <w:r w:rsidR="00DB0F42">
        <w:rPr>
          <w:rFonts w:ascii="Segoe UI" w:hAnsi="Segoe UI" w:cs="Segoe UI"/>
          <w:i/>
          <w:lang w:val="ka-GE"/>
        </w:rPr>
        <w:t xml:space="preserve">წლის </w:t>
      </w:r>
      <w:r w:rsidR="00F52155">
        <w:rPr>
          <w:rFonts w:ascii="Segoe UI" w:hAnsi="Segoe UI" w:cs="Segoe UI"/>
          <w:i/>
          <w:lang w:val="ka-GE"/>
        </w:rPr>
        <w:t>სექტემბრის მეორე ნახევრიდან კვლავ</w:t>
      </w:r>
      <w:r w:rsidR="00E54FF5">
        <w:rPr>
          <w:rFonts w:ascii="Segoe UI" w:hAnsi="Segoe UI" w:cs="Segoe UI"/>
          <w:i/>
          <w:lang w:val="ka-GE"/>
        </w:rPr>
        <w:t xml:space="preserve"> </w:t>
      </w:r>
      <w:r w:rsidR="00DB0F42">
        <w:rPr>
          <w:rFonts w:ascii="Segoe UI" w:hAnsi="Segoe UI" w:cs="Segoe UI"/>
          <w:i/>
          <w:lang w:val="ka-GE"/>
        </w:rPr>
        <w:t xml:space="preserve">განახლდა კოვიდ-ინფიცირების დღიური შემთვევების მატება და 2021 წლის </w:t>
      </w:r>
      <w:r w:rsidR="00F52155">
        <w:rPr>
          <w:rFonts w:ascii="Segoe UI" w:hAnsi="Segoe UI" w:cs="Segoe UI"/>
          <w:i/>
          <w:lang w:val="ka-GE"/>
        </w:rPr>
        <w:t xml:space="preserve">ოქტომბრის </w:t>
      </w:r>
      <w:r w:rsidR="00DB0F42">
        <w:rPr>
          <w:rFonts w:ascii="Segoe UI" w:hAnsi="Segoe UI" w:cs="Segoe UI"/>
          <w:i/>
          <w:lang w:val="ka-GE"/>
        </w:rPr>
        <w:t>საშუალო</w:t>
      </w:r>
      <w:r w:rsidRPr="008A444E">
        <w:rPr>
          <w:rFonts w:ascii="Segoe UI" w:hAnsi="Segoe UI" w:cs="Segoe UI"/>
          <w:i/>
          <w:lang w:val="ka-GE"/>
        </w:rPr>
        <w:t xml:space="preserve"> </w:t>
      </w:r>
      <w:r w:rsidR="00DB0F42">
        <w:rPr>
          <w:rFonts w:ascii="Segoe UI" w:hAnsi="Segoe UI" w:cs="Segoe UI"/>
          <w:i/>
          <w:lang w:val="ka-GE"/>
        </w:rPr>
        <w:t>დღიური შემ</w:t>
      </w:r>
      <w:r w:rsidR="00F52155">
        <w:rPr>
          <w:rFonts w:ascii="Segoe UI" w:hAnsi="Segoe UI" w:cs="Segoe UI"/>
          <w:i/>
          <w:lang w:val="ka-GE"/>
        </w:rPr>
        <w:t>თ</w:t>
      </w:r>
      <w:r w:rsidR="00DB0F42">
        <w:rPr>
          <w:rFonts w:ascii="Segoe UI" w:hAnsi="Segoe UI" w:cs="Segoe UI"/>
          <w:i/>
          <w:lang w:val="ka-GE"/>
        </w:rPr>
        <w:t xml:space="preserve">ხვევების რაოდენობამ შეადგინა </w:t>
      </w:r>
      <w:r w:rsidR="00F52155">
        <w:rPr>
          <w:rFonts w:ascii="Segoe UI" w:hAnsi="Segoe UI" w:cs="Segoe UI"/>
          <w:i/>
          <w:lang w:val="ka-GE"/>
        </w:rPr>
        <w:t>3426</w:t>
      </w:r>
      <w:r w:rsidR="00B40A59">
        <w:rPr>
          <w:rFonts w:ascii="Segoe UI" w:hAnsi="Segoe UI" w:cs="Segoe UI"/>
          <w:i/>
          <w:lang w:val="ka-GE"/>
        </w:rPr>
        <w:t xml:space="preserve"> </w:t>
      </w:r>
      <w:r w:rsidR="00DB0F42">
        <w:rPr>
          <w:rFonts w:ascii="Segoe UI" w:hAnsi="Segoe UI" w:cs="Segoe UI"/>
          <w:i/>
          <w:lang w:val="ka-GE"/>
        </w:rPr>
        <w:t xml:space="preserve">შემთხვევა, ხოლო გარდაცვლილთა საშუალო დღიური რაოდენობა გაუტოლდა </w:t>
      </w:r>
      <w:r w:rsidR="00F52155">
        <w:rPr>
          <w:rFonts w:ascii="Segoe UI" w:hAnsi="Segoe UI" w:cs="Segoe UI"/>
          <w:i/>
          <w:lang w:val="ka-GE"/>
        </w:rPr>
        <w:t>35</w:t>
      </w:r>
      <w:r w:rsidR="00DB0F42">
        <w:rPr>
          <w:rFonts w:ascii="Segoe UI" w:hAnsi="Segoe UI" w:cs="Segoe UI"/>
          <w:i/>
          <w:lang w:val="ka-GE"/>
        </w:rPr>
        <w:t xml:space="preserve">-ს. </w:t>
      </w:r>
      <w:r w:rsidR="00BF1533">
        <w:rPr>
          <w:rFonts w:ascii="Segoe UI" w:hAnsi="Segoe UI" w:cs="Segoe UI"/>
          <w:i/>
          <w:lang w:val="ka-GE"/>
        </w:rPr>
        <w:t xml:space="preserve">მიუხედავად ამისა, არ განხორციელდა პანდემიის შეკავების ისეთი ღონისძიებები, რაც მნიშვნელოვან უარყოფით გავლენას მოახდენდა ეკონომიკურ აქტივობაზე. </w:t>
      </w:r>
      <w:r w:rsidR="00DB0F42">
        <w:rPr>
          <w:rFonts w:ascii="Segoe UI" w:hAnsi="Segoe UI" w:cs="Segoe UI"/>
          <w:i/>
          <w:lang w:val="ka-GE"/>
        </w:rPr>
        <w:t>ამავე დროს</w:t>
      </w:r>
      <w:r w:rsidR="00DB0F42" w:rsidRPr="008A444E">
        <w:rPr>
          <w:rFonts w:ascii="Segoe UI" w:hAnsi="Segoe UI" w:cs="Segoe UI"/>
          <w:i/>
          <w:lang w:val="ka-GE"/>
        </w:rPr>
        <w:t xml:space="preserve">, </w:t>
      </w:r>
      <w:r w:rsidRPr="008A444E">
        <w:rPr>
          <w:rFonts w:ascii="Segoe UI" w:hAnsi="Segoe UI" w:cs="Segoe UI"/>
          <w:i/>
          <w:lang w:val="ka-GE"/>
        </w:rPr>
        <w:t xml:space="preserve">უკვე არსებობს რამდენიმე ვაქცინა, რომელიც აღიარებულია ჯანდაცვის მსოფლიო ორგანიზაციის </w:t>
      </w:r>
      <w:r w:rsidR="00DB0F42">
        <w:rPr>
          <w:rFonts w:ascii="Segoe UI" w:hAnsi="Segoe UI" w:cs="Segoe UI"/>
          <w:i/>
          <w:lang w:val="ka-GE"/>
        </w:rPr>
        <w:t>მიერ</w:t>
      </w:r>
      <w:r w:rsidR="00DB0F42" w:rsidRPr="008A444E">
        <w:rPr>
          <w:rFonts w:ascii="Segoe UI" w:hAnsi="Segoe UI" w:cs="Segoe UI"/>
          <w:i/>
          <w:lang w:val="ka-GE"/>
        </w:rPr>
        <w:t xml:space="preserve"> </w:t>
      </w:r>
      <w:r w:rsidRPr="008A444E">
        <w:rPr>
          <w:rFonts w:ascii="Segoe UI" w:hAnsi="Segoe UI" w:cs="Segoe UI"/>
          <w:i/>
          <w:lang w:val="ka-GE"/>
        </w:rPr>
        <w:t>და მსოფლიო</w:t>
      </w:r>
      <w:r w:rsidR="00DB0F42">
        <w:rPr>
          <w:rFonts w:ascii="Segoe UI" w:hAnsi="Segoe UI" w:cs="Segoe UI"/>
          <w:i/>
          <w:lang w:val="ka-GE"/>
        </w:rPr>
        <w:t>სა და საქართველოს</w:t>
      </w:r>
      <w:r w:rsidR="00BF1533">
        <w:rPr>
          <w:rFonts w:ascii="Segoe UI" w:hAnsi="Segoe UI" w:cs="Segoe UI"/>
          <w:i/>
          <w:lang w:val="ka-GE"/>
        </w:rPr>
        <w:t>თ</w:t>
      </w:r>
      <w:r w:rsidR="00DB0F42">
        <w:rPr>
          <w:rFonts w:ascii="Segoe UI" w:hAnsi="Segoe UI" w:cs="Segoe UI"/>
          <w:i/>
          <w:lang w:val="ka-GE"/>
        </w:rPr>
        <w:t>ვის ტურიზმის მხრივ მნიშვნელოვან ქვეყნებში</w:t>
      </w:r>
      <w:r w:rsidRPr="008A444E">
        <w:rPr>
          <w:rFonts w:ascii="Segoe UI" w:hAnsi="Segoe UI" w:cs="Segoe UI"/>
          <w:i/>
          <w:lang w:val="ka-GE"/>
        </w:rPr>
        <w:t xml:space="preserve"> დაწყებულია ვაქციანციის პროცესი. </w:t>
      </w:r>
      <w:r w:rsidR="001E6B81" w:rsidRPr="004E77CF">
        <w:rPr>
          <w:rFonts w:ascii="Segoe UI" w:hAnsi="Segoe UI" w:cs="Segoe UI"/>
          <w:i/>
          <w:lang w:val="ka-GE"/>
        </w:rPr>
        <w:t xml:space="preserve">მინიმუმ 1 დოზით აცრილია მოსახლეობის </w:t>
      </w:r>
      <w:r w:rsidR="00C83535" w:rsidRPr="004E77CF">
        <w:rPr>
          <w:rFonts w:ascii="Segoe UI" w:hAnsi="Segoe UI" w:cs="Segoe UI"/>
          <w:i/>
          <w:lang w:val="ka-GE"/>
        </w:rPr>
        <w:t>2</w:t>
      </w:r>
      <w:r w:rsidR="003A54A5">
        <w:rPr>
          <w:rFonts w:ascii="Segoe UI" w:hAnsi="Segoe UI" w:cs="Segoe UI"/>
          <w:i/>
          <w:lang w:val="ka-GE"/>
        </w:rPr>
        <w:t>8</w:t>
      </w:r>
      <w:r w:rsidR="001E6B81" w:rsidRPr="004E77CF">
        <w:rPr>
          <w:rFonts w:ascii="Segoe UI" w:hAnsi="Segoe UI" w:cs="Segoe UI"/>
          <w:i/>
          <w:lang w:val="ka-GE"/>
        </w:rPr>
        <w:t xml:space="preserve"> </w:t>
      </w:r>
      <w:r w:rsidR="00C83535" w:rsidRPr="004E77CF">
        <w:rPr>
          <w:rFonts w:ascii="Segoe UI" w:hAnsi="Segoe UI" w:cs="Segoe UI"/>
          <w:i/>
          <w:lang w:val="ka-GE"/>
        </w:rPr>
        <w:t>პროცენტზე მეტი</w:t>
      </w:r>
      <w:r w:rsidR="001E6B81" w:rsidRPr="004E77CF">
        <w:rPr>
          <w:rFonts w:ascii="Segoe UI" w:hAnsi="Segoe UI" w:cs="Segoe UI"/>
          <w:i/>
          <w:lang w:val="ka-GE"/>
        </w:rPr>
        <w:t>.</w:t>
      </w:r>
      <w:r w:rsidR="001E6B81">
        <w:rPr>
          <w:rFonts w:ascii="Segoe UI" w:hAnsi="Segoe UI" w:cs="Segoe UI"/>
          <w:i/>
          <w:lang w:val="ka-GE"/>
        </w:rPr>
        <w:t xml:space="preserve"> </w:t>
      </w:r>
      <w:r w:rsidR="00BF1533">
        <w:rPr>
          <w:rFonts w:ascii="Segoe UI" w:hAnsi="Segoe UI" w:cs="Segoe UI"/>
          <w:i/>
          <w:lang w:val="ka-GE"/>
        </w:rPr>
        <w:t xml:space="preserve">ვაქცინების არსებული მარაგი შესაბამისია მთავრობის გაცხადებულ მიზანთან - </w:t>
      </w:r>
      <w:r w:rsidRPr="008A444E">
        <w:rPr>
          <w:rFonts w:ascii="Segoe UI" w:hAnsi="Segoe UI" w:cs="Segoe UI"/>
          <w:i/>
          <w:lang w:val="ka-GE"/>
        </w:rPr>
        <w:t>პოპულაციური იმუნიტეტის მიღწევა წლის ბოლომდე</w:t>
      </w:r>
      <w:r w:rsidR="00BF1533">
        <w:rPr>
          <w:rFonts w:ascii="Segoe UI" w:hAnsi="Segoe UI" w:cs="Segoe UI"/>
          <w:i/>
          <w:lang w:val="ka-GE"/>
        </w:rPr>
        <w:t>. თუმცა, მთავარი დაბრკოლებაა ვაქცინაციის დაბალი ტემპი</w:t>
      </w:r>
      <w:r w:rsidR="001E6B81">
        <w:rPr>
          <w:rFonts w:ascii="Segoe UI" w:hAnsi="Segoe UI" w:cs="Segoe UI"/>
          <w:i/>
          <w:lang w:val="ka-GE"/>
        </w:rPr>
        <w:t>.</w:t>
      </w:r>
      <w:r w:rsidR="00E2145A">
        <w:rPr>
          <w:rFonts w:ascii="Segoe UI" w:hAnsi="Segoe UI" w:cs="Segoe UI"/>
          <w:i/>
          <w:lang w:val="ka-GE"/>
        </w:rPr>
        <w:t xml:space="preserve"> აღნიშნული პერიოდი ასევე ხასიათდება სეზონური ვირუსული დაავადებების გავრცელებით, რაც კოვიდ-ვირუსთან ერთად ქმნის დამატებით საფრთხეს.</w:t>
      </w:r>
    </w:p>
    <w:p w:rsidR="00440FFD" w:rsidRPr="008A444E" w:rsidRDefault="00440FFD" w:rsidP="00440FFD">
      <w:pPr>
        <w:ind w:left="720"/>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ტურიზმის გლობალური სენტიმენტების გაუარესება</w:t>
      </w:r>
    </w:p>
    <w:p w:rsidR="00440FFD" w:rsidRPr="00CD00C8" w:rsidRDefault="00440FFD" w:rsidP="00440FFD">
      <w:pPr>
        <w:ind w:left="360"/>
        <w:jc w:val="both"/>
        <w:rPr>
          <w:rFonts w:ascii="Segoe UI" w:hAnsi="Segoe UI" w:cs="Segoe UI"/>
          <w:i/>
          <w:lang w:val="ka-GE"/>
        </w:rPr>
      </w:pPr>
      <w:r w:rsidRPr="008A444E">
        <w:rPr>
          <w:rFonts w:ascii="Segoe UI" w:hAnsi="Segoe UI" w:cs="Segoe UI"/>
          <w:i/>
          <w:lang w:val="ka-GE"/>
        </w:rPr>
        <w:t xml:space="preserve">ამ ეტაპზე ნაადრევია ტურიზმის აღდგენის პერსპექტივებზე მსჯელობა. </w:t>
      </w:r>
      <w:r w:rsidR="00CD00C8">
        <w:rPr>
          <w:rFonts w:ascii="Segoe UI" w:hAnsi="Segoe UI" w:cs="Segoe UI"/>
          <w:i/>
          <w:lang w:val="ka-GE"/>
        </w:rPr>
        <w:t xml:space="preserve"> იმის მიუხედავად, რომ 2021 წლის პირველი </w:t>
      </w:r>
      <w:r w:rsidR="00E2145A">
        <w:rPr>
          <w:rFonts w:ascii="Segoe UI" w:hAnsi="Segoe UI" w:cs="Segoe UI"/>
          <w:i/>
          <w:lang w:val="ka-GE"/>
        </w:rPr>
        <w:t xml:space="preserve">9 </w:t>
      </w:r>
      <w:r w:rsidR="00CD00C8">
        <w:rPr>
          <w:rFonts w:ascii="Segoe UI" w:hAnsi="Segoe UI" w:cs="Segoe UI"/>
          <w:i/>
          <w:lang w:val="ka-GE"/>
        </w:rPr>
        <w:t xml:space="preserve">თვის განმავლობაში ტურიზმიდან მიღებული შემოსავალი აღემატება 2020 წლის შესაბამისი პერიოდის მაჩვენებელს </w:t>
      </w:r>
      <w:r w:rsidR="00E2145A">
        <w:rPr>
          <w:rFonts w:ascii="Segoe UI" w:hAnsi="Segoe UI" w:cs="Segoe UI"/>
          <w:i/>
        </w:rPr>
        <w:t>73</w:t>
      </w:r>
      <w:r w:rsidR="00E2145A">
        <w:rPr>
          <w:rFonts w:ascii="Segoe UI" w:hAnsi="Segoe UI" w:cs="Segoe UI"/>
          <w:i/>
          <w:lang w:val="ka-GE"/>
        </w:rPr>
        <w:t>.</w:t>
      </w:r>
      <w:r w:rsidR="00E2145A">
        <w:rPr>
          <w:rFonts w:ascii="Segoe UI" w:hAnsi="Segoe UI" w:cs="Segoe UI"/>
          <w:i/>
        </w:rPr>
        <w:t>5</w:t>
      </w:r>
      <w:r w:rsidR="00E2145A">
        <w:rPr>
          <w:rFonts w:ascii="Segoe UI" w:hAnsi="Segoe UI" w:cs="Segoe UI"/>
          <w:i/>
          <w:lang w:val="ka-GE"/>
        </w:rPr>
        <w:t xml:space="preserve"> </w:t>
      </w:r>
      <w:r w:rsidR="00CD00C8">
        <w:rPr>
          <w:rFonts w:ascii="Segoe UI" w:hAnsi="Segoe UI" w:cs="Segoe UI"/>
          <w:i/>
          <w:lang w:val="ka-GE"/>
        </w:rPr>
        <w:t xml:space="preserve">პროცენტით, ტურიზმიდან მიღებული შემოსავლების დონე შეადგენს 2019 წლის ანალოგიური მაჩვენებლსის მხოლოდ </w:t>
      </w:r>
      <w:r w:rsidR="00E2145A">
        <w:rPr>
          <w:rFonts w:ascii="Segoe UI" w:hAnsi="Segoe UI" w:cs="Segoe UI"/>
          <w:i/>
          <w:lang w:val="ka-GE"/>
        </w:rPr>
        <w:t>33.5</w:t>
      </w:r>
      <w:r w:rsidR="00CD00C8">
        <w:rPr>
          <w:rFonts w:ascii="Segoe UI" w:hAnsi="Segoe UI" w:cs="Segoe UI"/>
          <w:i/>
          <w:lang w:val="ka-GE"/>
        </w:rPr>
        <w:t xml:space="preserve"> პროცენტს. </w:t>
      </w:r>
      <w:r w:rsidR="006B79A4">
        <w:rPr>
          <w:rFonts w:ascii="Segoe UI" w:hAnsi="Segoe UI" w:cs="Segoe UI"/>
          <w:i/>
          <w:lang w:val="ka-GE"/>
        </w:rPr>
        <w:t>ამავე დროს, აგვისტოს</w:t>
      </w:r>
      <w:r w:rsidR="00E2145A">
        <w:rPr>
          <w:rFonts w:ascii="Segoe UI" w:hAnsi="Segoe UI" w:cs="Segoe UI"/>
          <w:i/>
          <w:lang w:val="ka-GE"/>
        </w:rPr>
        <w:t>ა და სექტემბრის</w:t>
      </w:r>
      <w:r w:rsidR="006B79A4">
        <w:rPr>
          <w:rFonts w:ascii="Segoe UI" w:hAnsi="Segoe UI" w:cs="Segoe UI"/>
          <w:i/>
          <w:lang w:val="ka-GE"/>
        </w:rPr>
        <w:t xml:space="preserve"> თვე</w:t>
      </w:r>
      <w:r w:rsidR="00E2145A">
        <w:rPr>
          <w:rFonts w:ascii="Segoe UI" w:hAnsi="Segoe UI" w:cs="Segoe UI"/>
          <w:i/>
          <w:lang w:val="ka-GE"/>
        </w:rPr>
        <w:t>ებ</w:t>
      </w:r>
      <w:r w:rsidR="006B79A4">
        <w:rPr>
          <w:rFonts w:ascii="Segoe UI" w:hAnsi="Segoe UI" w:cs="Segoe UI"/>
          <w:i/>
          <w:lang w:val="ka-GE"/>
        </w:rPr>
        <w:t xml:space="preserve">ში პანდემიის </w:t>
      </w:r>
      <w:r w:rsidR="001E6B81">
        <w:rPr>
          <w:rFonts w:ascii="Segoe UI" w:hAnsi="Segoe UI" w:cs="Segoe UI"/>
          <w:i/>
          <w:lang w:val="ka-GE"/>
        </w:rPr>
        <w:t xml:space="preserve">ახალი ტალღა </w:t>
      </w:r>
      <w:r w:rsidR="006B79A4">
        <w:rPr>
          <w:rFonts w:ascii="Segoe UI" w:hAnsi="Segoe UI" w:cs="Segoe UI"/>
          <w:i/>
          <w:lang w:val="ka-GE"/>
        </w:rPr>
        <w:t>და დაბალი ვაქცინაციის ტემპი აფერხებს ტურიზმის სექტორის აღდგენ</w:t>
      </w:r>
      <w:r w:rsidR="001E6B81">
        <w:rPr>
          <w:rFonts w:ascii="Segoe UI" w:hAnsi="Segoe UI" w:cs="Segoe UI"/>
          <w:i/>
          <w:lang w:val="ka-GE"/>
        </w:rPr>
        <w:t>ის პერსპექტივას</w:t>
      </w:r>
      <w:r w:rsidR="006B79A4">
        <w:rPr>
          <w:rFonts w:ascii="Segoe UI" w:hAnsi="Segoe UI" w:cs="Segoe UI"/>
          <w:i/>
          <w:lang w:val="ka-GE"/>
        </w:rPr>
        <w:t>.</w:t>
      </w:r>
      <w:r w:rsidR="001E6B81">
        <w:rPr>
          <w:rFonts w:ascii="Segoe UI" w:hAnsi="Segoe UI" w:cs="Segoe UI"/>
          <w:i/>
          <w:lang w:val="ka-GE"/>
        </w:rPr>
        <w:t xml:space="preserve">  ტურიზმის აღდგენის არსებული ტემპი შესაბამისია საბაზისო მოლოდინთან.</w:t>
      </w:r>
    </w:p>
    <w:p w:rsidR="00440FFD" w:rsidRPr="008A444E" w:rsidRDefault="00440FFD" w:rsidP="00440FFD">
      <w:pPr>
        <w:pStyle w:val="ListParagraph"/>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გლობალური სავაჭრო ბრუნვის შემცირება</w:t>
      </w:r>
    </w:p>
    <w:p w:rsidR="00440FFD" w:rsidRPr="008A444E" w:rsidRDefault="00440FFD" w:rsidP="00440FFD">
      <w:pPr>
        <w:ind w:left="360"/>
        <w:jc w:val="both"/>
        <w:rPr>
          <w:rFonts w:ascii="Segoe UI" w:hAnsi="Segoe UI" w:cs="Segoe UI"/>
          <w:i/>
          <w:lang w:val="ka-GE"/>
        </w:rPr>
      </w:pPr>
      <w:r w:rsidRPr="008A444E">
        <w:rPr>
          <w:rFonts w:ascii="Segoe UI" w:hAnsi="Segoe UI" w:cs="Segoe UI"/>
          <w:i/>
          <w:lang w:val="ka-GE"/>
        </w:rPr>
        <w:t>აღნიშნული რისკი მატერიალიზაციის მიმართულებით ამ ეტაპისთვის ფიქსირდება როგორც პოზიტიური, ასევე ნეგატიური ტენდენციები. კერძ</w:t>
      </w:r>
      <w:r w:rsidR="000414D3" w:rsidRPr="008A444E">
        <w:rPr>
          <w:rFonts w:ascii="Segoe UI" w:hAnsi="Segoe UI" w:cs="Segoe UI"/>
          <w:i/>
          <w:lang w:val="ka-GE"/>
        </w:rPr>
        <w:t>ოდ, ერთი მხრივ გაზრდილია სა</w:t>
      </w:r>
      <w:r w:rsidR="003B4DEE">
        <w:rPr>
          <w:rFonts w:ascii="Segoe UI" w:hAnsi="Segoe UI" w:cs="Segoe UI"/>
          <w:i/>
          <w:lang w:val="ka-GE"/>
        </w:rPr>
        <w:t>ვ</w:t>
      </w:r>
      <w:r w:rsidR="000414D3" w:rsidRPr="008A444E">
        <w:rPr>
          <w:rFonts w:ascii="Segoe UI" w:hAnsi="Segoe UI" w:cs="Segoe UI"/>
          <w:i/>
          <w:lang w:val="ka-GE"/>
        </w:rPr>
        <w:t>აჭრო ბრუნვა, ხოლო მეორე მხრივ ადგილი აქვს მიწოდების გაზრდილ დანახარჯებს, რაც აისახება მთელს მსოფლიოში მომატებულ ინფლაციური ტენდენციებში.</w:t>
      </w:r>
    </w:p>
    <w:p w:rsidR="00440FFD" w:rsidRPr="008A444E" w:rsidRDefault="00440FFD" w:rsidP="00440FFD">
      <w:pPr>
        <w:pStyle w:val="ListParagraph"/>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რეგიონული რისკები</w:t>
      </w:r>
    </w:p>
    <w:p w:rsidR="000414D3" w:rsidRDefault="000414D3" w:rsidP="00CF41A6">
      <w:pPr>
        <w:ind w:left="360"/>
        <w:jc w:val="both"/>
        <w:rPr>
          <w:rFonts w:ascii="Segoe UI" w:hAnsi="Segoe UI" w:cs="Segoe UI"/>
          <w:i/>
          <w:lang w:val="ka-GE"/>
        </w:rPr>
      </w:pPr>
      <w:r w:rsidRPr="008A444E">
        <w:rPr>
          <w:rFonts w:ascii="Segoe UI" w:hAnsi="Segoe UI" w:cs="Segoe UI"/>
          <w:i/>
          <w:lang w:val="ka-GE"/>
        </w:rPr>
        <w:t>რეგიონული რისკების მიმართულებით შენარჩუნებულია 2020 წლის ბოლოს არსებული მდგომარეობა.</w:t>
      </w:r>
      <w:r w:rsidR="003B4DEE">
        <w:rPr>
          <w:rFonts w:ascii="Segoe UI" w:hAnsi="Segoe UI" w:cs="Segoe UI"/>
          <w:i/>
          <w:lang w:val="ka-GE"/>
        </w:rPr>
        <w:t xml:space="preserve"> გარდა ამისა, ავღანეთში მოხმდარი კრიზი</w:t>
      </w:r>
      <w:r w:rsidR="006D18AC">
        <w:rPr>
          <w:rFonts w:ascii="Segoe UI" w:hAnsi="Segoe UI" w:cs="Segoe UI"/>
          <w:i/>
          <w:lang w:val="ka-GE"/>
        </w:rPr>
        <w:t>სი</w:t>
      </w:r>
      <w:r w:rsidR="003B4DEE">
        <w:rPr>
          <w:rFonts w:ascii="Segoe UI" w:hAnsi="Segoe UI" w:cs="Segoe UI"/>
          <w:i/>
          <w:lang w:val="ka-GE"/>
        </w:rPr>
        <w:t>ს გამო, გაურკვეველია ახლო აღ</w:t>
      </w:r>
      <w:r w:rsidR="00CD00C8">
        <w:rPr>
          <w:rFonts w:ascii="Segoe UI" w:hAnsi="Segoe UI" w:cs="Segoe UI"/>
          <w:i/>
          <w:lang w:val="ka-GE"/>
        </w:rPr>
        <w:t>მ</w:t>
      </w:r>
      <w:r w:rsidR="003B4DEE">
        <w:rPr>
          <w:rFonts w:ascii="Segoe UI" w:hAnsi="Segoe UI" w:cs="Segoe UI"/>
          <w:i/>
          <w:lang w:val="ka-GE"/>
        </w:rPr>
        <w:t>ოსავლეთის მომავალი პოლიტიკური ვითარება, რაც ასევე ქმნის გაუ</w:t>
      </w:r>
      <w:r w:rsidR="00DD6AF3">
        <w:rPr>
          <w:rFonts w:ascii="Segoe UI" w:hAnsi="Segoe UI" w:cs="Segoe UI"/>
          <w:i/>
          <w:lang w:val="ka-GE"/>
        </w:rPr>
        <w:t>რ</w:t>
      </w:r>
      <w:r w:rsidR="003B4DEE">
        <w:rPr>
          <w:rFonts w:ascii="Segoe UI" w:hAnsi="Segoe UI" w:cs="Segoe UI"/>
          <w:i/>
          <w:lang w:val="ka-GE"/>
        </w:rPr>
        <w:t xml:space="preserve">კვევლობას </w:t>
      </w:r>
      <w:r w:rsidR="00CD00C8">
        <w:rPr>
          <w:rFonts w:ascii="Segoe UI" w:hAnsi="Segoe UI" w:cs="Segoe UI"/>
          <w:i/>
          <w:lang w:val="ka-GE"/>
        </w:rPr>
        <w:t>მთელ რეგიონში.</w:t>
      </w:r>
      <w:r w:rsidR="003B4DEE">
        <w:rPr>
          <w:rFonts w:ascii="Segoe UI" w:hAnsi="Segoe UI" w:cs="Segoe UI"/>
          <w:i/>
          <w:lang w:val="ka-GE"/>
        </w:rPr>
        <w:t xml:space="preserve"> </w:t>
      </w:r>
      <w:r w:rsidR="00DD6AF3">
        <w:rPr>
          <w:rFonts w:ascii="Segoe UI" w:hAnsi="Segoe UI" w:cs="Segoe UI"/>
          <w:i/>
          <w:lang w:val="ka-GE"/>
        </w:rPr>
        <w:t>ასევე რისკს წარმო</w:t>
      </w:r>
      <w:r w:rsidR="00DD6AF3">
        <w:rPr>
          <w:rFonts w:ascii="Segoe UI" w:hAnsi="Segoe UI" w:cs="Segoe UI"/>
          <w:i/>
        </w:rPr>
        <w:t>ა</w:t>
      </w:r>
      <w:r w:rsidR="00DD6AF3">
        <w:rPr>
          <w:rFonts w:ascii="Segoe UI" w:hAnsi="Segoe UI" w:cs="Segoe UI"/>
          <w:i/>
          <w:lang w:val="ka-GE"/>
        </w:rPr>
        <w:t>დგენს თურქეთის ეკონომიკ</w:t>
      </w:r>
      <w:r w:rsidR="00E54FF5">
        <w:rPr>
          <w:rFonts w:ascii="Segoe UI" w:hAnsi="Segoe UI" w:cs="Segoe UI"/>
          <w:i/>
          <w:lang w:val="ka-GE"/>
        </w:rPr>
        <w:t>ური პრობლემები</w:t>
      </w:r>
      <w:r w:rsidR="00DD6AF3">
        <w:rPr>
          <w:rFonts w:ascii="Segoe UI" w:hAnsi="Segoe UI" w:cs="Segoe UI"/>
          <w:i/>
          <w:lang w:val="ka-GE"/>
        </w:rPr>
        <w:t>, როგორც საქართველოს ერთ-ერთი მნიშვნელოვან სავაჭრო პარტნიორის</w:t>
      </w:r>
      <w:r w:rsidR="00E54FF5">
        <w:rPr>
          <w:rFonts w:ascii="Segoe UI" w:hAnsi="Segoe UI" w:cs="Segoe UI"/>
          <w:i/>
          <w:lang w:val="ka-GE"/>
        </w:rPr>
        <w:t>. კვლავ გამოწვევად რჩება საქართველოს ძირითადი სავაჭრო პარტნიორების განგრძობადი პოლიტიკური დაძაბულობა დასავლურ სამყაროსთან.</w:t>
      </w:r>
    </w:p>
    <w:p w:rsidR="00D23BB8" w:rsidRPr="008A444E" w:rsidRDefault="00D23BB8" w:rsidP="000414D3">
      <w:pPr>
        <w:ind w:left="360"/>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გაზრდილი გლობალური ვალი</w:t>
      </w:r>
    </w:p>
    <w:p w:rsidR="000414D3" w:rsidRDefault="00004DED" w:rsidP="000414D3">
      <w:pPr>
        <w:ind w:left="360"/>
        <w:jc w:val="both"/>
        <w:rPr>
          <w:rFonts w:ascii="Segoe UI" w:hAnsi="Segoe UI" w:cs="Segoe UI"/>
          <w:i/>
          <w:lang w:val="ka-GE"/>
        </w:rPr>
      </w:pPr>
      <w:r w:rsidRPr="008A444E">
        <w:rPr>
          <w:rFonts w:ascii="Segoe UI" w:hAnsi="Segoe UI" w:cs="Segoe UI"/>
          <w:i/>
          <w:lang w:val="ka-GE"/>
        </w:rPr>
        <w:t>ამ ეტაპისთვის შეინიშნება ეკონომიკის სწრაფი აღმავლობა. რაც ამცირებს ამ რისკ-ფაქტორის მატერალურობის შეფასებას. მიუხედავად ამისა, მოსალონელია ეს რისკე</w:t>
      </w:r>
      <w:r w:rsidR="008D588C" w:rsidRPr="008A444E">
        <w:rPr>
          <w:rFonts w:ascii="Segoe UI" w:hAnsi="Segoe UI" w:cs="Segoe UI"/>
          <w:i/>
          <w:lang w:val="ka-GE"/>
        </w:rPr>
        <w:t>ბ</w:t>
      </w:r>
      <w:r w:rsidRPr="008A444E">
        <w:rPr>
          <w:rFonts w:ascii="Segoe UI" w:hAnsi="Segoe UI" w:cs="Segoe UI"/>
          <w:i/>
          <w:lang w:val="ka-GE"/>
        </w:rPr>
        <w:t xml:space="preserve">ი მომდებნო წლებში </w:t>
      </w:r>
      <w:r w:rsidR="001E6B81">
        <w:rPr>
          <w:rFonts w:ascii="Segoe UI" w:hAnsi="Segoe UI" w:cs="Segoe UI"/>
          <w:i/>
          <w:lang w:val="ka-GE"/>
        </w:rPr>
        <w:t>ნ</w:t>
      </w:r>
      <w:r w:rsidR="001E6B81" w:rsidRPr="008A444E">
        <w:rPr>
          <w:rFonts w:ascii="Segoe UI" w:hAnsi="Segoe UI" w:cs="Segoe UI"/>
          <w:i/>
          <w:lang w:val="ka-GE"/>
        </w:rPr>
        <w:t xml:space="preserve">აწილობრივ </w:t>
      </w:r>
      <w:r w:rsidRPr="008A444E">
        <w:rPr>
          <w:rFonts w:ascii="Segoe UI" w:hAnsi="Segoe UI" w:cs="Segoe UI"/>
          <w:i/>
          <w:lang w:val="ka-GE"/>
        </w:rPr>
        <w:t>შენარჩუნდეს.</w:t>
      </w:r>
    </w:p>
    <w:p w:rsidR="00E54FF5" w:rsidRPr="008A444E" w:rsidRDefault="00E54FF5" w:rsidP="000414D3">
      <w:pPr>
        <w:ind w:left="360"/>
        <w:jc w:val="both"/>
        <w:rPr>
          <w:rFonts w:ascii="Segoe UI" w:hAnsi="Segoe UI" w:cs="Segoe UI"/>
          <w:i/>
          <w:lang w:val="ka-GE"/>
        </w:rPr>
      </w:pPr>
    </w:p>
    <w:p w:rsidR="00FA0023" w:rsidRPr="008A444E" w:rsidRDefault="00FA0023" w:rsidP="00FA0023">
      <w:pPr>
        <w:pStyle w:val="ListParagraph"/>
        <w:numPr>
          <w:ilvl w:val="0"/>
          <w:numId w:val="27"/>
        </w:numPr>
        <w:jc w:val="both"/>
        <w:rPr>
          <w:rFonts w:ascii="Segoe UI" w:hAnsi="Segoe UI" w:cs="Segoe UI"/>
          <w:lang w:val="ka-GE"/>
        </w:rPr>
      </w:pPr>
      <w:r w:rsidRPr="008A444E">
        <w:rPr>
          <w:rFonts w:ascii="Segoe UI" w:hAnsi="Segoe UI" w:cs="Segoe UI"/>
          <w:lang w:val="ka-GE"/>
        </w:rPr>
        <w:t>გლობალური მომხამრებელთა ქცევა</w:t>
      </w:r>
    </w:p>
    <w:p w:rsidR="001E6B81" w:rsidRDefault="001E6B81" w:rsidP="008A444E">
      <w:pPr>
        <w:ind w:left="360"/>
        <w:jc w:val="both"/>
        <w:rPr>
          <w:rFonts w:ascii="Segoe UI" w:hAnsi="Segoe UI" w:cs="Segoe UI"/>
          <w:i/>
          <w:lang w:val="ka-GE"/>
        </w:rPr>
      </w:pPr>
      <w:r>
        <w:rPr>
          <w:rFonts w:ascii="Segoe UI" w:hAnsi="Segoe UI" w:cs="Segoe UI"/>
          <w:i/>
          <w:lang w:val="ka-GE"/>
        </w:rPr>
        <w:t>ამ ეტაპისთვის აღნიშნული რისკ ფაქტორის მატერიალიზაციის ნიშნები არ იკვეთება. მთელ მსოფლიოში გაზრდილია როგორც საგარეო, აგრეთვე შიდა მოთხოვნა. საქართველოს ეკონომიკის აღდგენა ძირითადად მოხმარების აღდგენის ხარჯზე მიმდინარეობს.</w:t>
      </w:r>
    </w:p>
    <w:p w:rsidR="00FA0023" w:rsidRPr="005074EE" w:rsidRDefault="00FA0023" w:rsidP="00954905">
      <w:pPr>
        <w:pStyle w:val="ListParagraph"/>
        <w:ind w:left="1260"/>
        <w:jc w:val="both"/>
        <w:rPr>
          <w:rFonts w:ascii="Sylfaen" w:hAnsi="Sylfaen"/>
          <w:lang w:val="ka-GE"/>
        </w:rPr>
      </w:pPr>
    </w:p>
    <w:p w:rsidR="00657927" w:rsidRPr="00657927" w:rsidRDefault="00657927" w:rsidP="00190D83">
      <w:pPr>
        <w:pStyle w:val="Heading2"/>
      </w:pPr>
      <w:r>
        <w:t xml:space="preserve">პოლიტიკის პასუხების ანალიზი </w:t>
      </w:r>
    </w:p>
    <w:p w:rsidR="009E2E9F" w:rsidRPr="00C201A7" w:rsidRDefault="008D588C" w:rsidP="00ED763A">
      <w:pPr>
        <w:spacing w:line="276" w:lineRule="auto"/>
        <w:ind w:firstLine="540"/>
        <w:jc w:val="both"/>
        <w:rPr>
          <w:rFonts w:ascii="Segoe UI" w:hAnsi="Segoe UI" w:cs="Segoe UI"/>
          <w:sz w:val="20"/>
          <w:szCs w:val="20"/>
          <w:lang w:val="ka-GE"/>
        </w:rPr>
      </w:pPr>
      <w:r w:rsidRPr="00F90420">
        <w:rPr>
          <w:rFonts w:ascii="Segoe UI" w:hAnsi="Segoe UI" w:cs="Segoe UI"/>
          <w:sz w:val="20"/>
          <w:szCs w:val="20"/>
        </w:rPr>
        <w:t>ეკონომი</w:t>
      </w:r>
      <w:r w:rsidR="00004DED" w:rsidRPr="00F90420">
        <w:rPr>
          <w:rFonts w:ascii="Segoe UI" w:hAnsi="Segoe UI" w:cs="Segoe UI"/>
          <w:sz w:val="20"/>
          <w:szCs w:val="20"/>
        </w:rPr>
        <w:t>კის სწრაფი აღდგენის ტენდენციამ გაზარდა საგადას</w:t>
      </w:r>
      <w:r w:rsidRPr="00F90420">
        <w:rPr>
          <w:rFonts w:ascii="Segoe UI" w:hAnsi="Segoe UI" w:cs="Segoe UI"/>
          <w:sz w:val="20"/>
          <w:szCs w:val="20"/>
        </w:rPr>
        <w:t>ა</w:t>
      </w:r>
      <w:r w:rsidR="00004DED" w:rsidRPr="00F90420">
        <w:rPr>
          <w:rFonts w:ascii="Segoe UI" w:hAnsi="Segoe UI" w:cs="Segoe UI"/>
          <w:sz w:val="20"/>
          <w:szCs w:val="20"/>
        </w:rPr>
        <w:t xml:space="preserve">ხადო შემოსავლები და ბიუჯეტის რესურსი. გაზრდილი რესურსის </w:t>
      </w:r>
      <w:r w:rsidRPr="00F90420">
        <w:rPr>
          <w:rFonts w:ascii="Segoe UI" w:hAnsi="Segoe UI" w:cs="Segoe UI"/>
          <w:sz w:val="20"/>
          <w:szCs w:val="20"/>
        </w:rPr>
        <w:t>ნა</w:t>
      </w:r>
      <w:r w:rsidR="00004DED" w:rsidRPr="00F90420">
        <w:rPr>
          <w:rFonts w:ascii="Segoe UI" w:hAnsi="Segoe UI" w:cs="Segoe UI"/>
          <w:sz w:val="20"/>
          <w:szCs w:val="20"/>
        </w:rPr>
        <w:t>წილი მიმართულ იქნა კონსოლიდაციის პროცესის დაჩქარებისაკენ, ხოლო ნაწილი მოხმარდა ჯანდაცვისა</w:t>
      </w:r>
      <w:r w:rsidRPr="00F90420">
        <w:rPr>
          <w:rFonts w:ascii="Segoe UI" w:hAnsi="Segoe UI" w:cs="Segoe UI"/>
          <w:sz w:val="20"/>
          <w:szCs w:val="20"/>
        </w:rPr>
        <w:t>,</w:t>
      </w:r>
      <w:r w:rsidR="00004DED" w:rsidRPr="00F90420">
        <w:rPr>
          <w:rFonts w:ascii="Segoe UI" w:hAnsi="Segoe UI" w:cs="Segoe UI"/>
          <w:sz w:val="20"/>
          <w:szCs w:val="20"/>
        </w:rPr>
        <w:t xml:space="preserve"> კაპიტალურ ხარჯებს</w:t>
      </w:r>
      <w:r w:rsidRPr="00F90420">
        <w:rPr>
          <w:rFonts w:ascii="Segoe UI" w:hAnsi="Segoe UI" w:cs="Segoe UI"/>
          <w:sz w:val="20"/>
          <w:szCs w:val="20"/>
        </w:rPr>
        <w:t>, სოფლის მეურნეობისა და მწარმოებლური სექტორების ხელშეწყობას.</w:t>
      </w:r>
      <w:r w:rsidR="00004DED" w:rsidRPr="00F90420">
        <w:rPr>
          <w:rFonts w:ascii="Segoe UI" w:hAnsi="Segoe UI" w:cs="Segoe UI"/>
          <w:sz w:val="20"/>
          <w:szCs w:val="20"/>
        </w:rPr>
        <w:t xml:space="preserve"> კაპიტალური ხარჯების </w:t>
      </w:r>
      <w:r w:rsidR="001E6B81">
        <w:rPr>
          <w:rFonts w:ascii="Segoe UI" w:hAnsi="Segoe UI" w:cs="Segoe UI"/>
          <w:sz w:val="20"/>
          <w:szCs w:val="20"/>
          <w:lang w:val="ka-GE"/>
        </w:rPr>
        <w:t>ზრდა</w:t>
      </w:r>
      <w:r w:rsidR="001E6B81" w:rsidRPr="00F90420">
        <w:rPr>
          <w:rFonts w:ascii="Segoe UI" w:hAnsi="Segoe UI" w:cs="Segoe UI"/>
          <w:sz w:val="20"/>
          <w:szCs w:val="20"/>
        </w:rPr>
        <w:t xml:space="preserve"> </w:t>
      </w:r>
      <w:r w:rsidR="00004DED" w:rsidRPr="00F90420">
        <w:rPr>
          <w:rFonts w:ascii="Segoe UI" w:hAnsi="Segoe UI" w:cs="Segoe UI"/>
          <w:sz w:val="20"/>
          <w:szCs w:val="20"/>
        </w:rPr>
        <w:t>მომავალშიც ხელს შეუწყობს აღდგენის პროცესის დაჩქარებას.</w:t>
      </w:r>
      <w:r w:rsidR="001E6B81">
        <w:rPr>
          <w:rFonts w:ascii="Segoe UI" w:hAnsi="Segoe UI" w:cs="Segoe UI"/>
          <w:sz w:val="20"/>
          <w:szCs w:val="20"/>
          <w:lang w:val="ka-GE"/>
        </w:rPr>
        <w:t xml:space="preserve"> საშუალოვადიან პერიოდში უმთავრეს ფისკალურ ამოცანად რჩება ფისკალური კონსოლიდაცია</w:t>
      </w:r>
      <w:r w:rsidR="00ED763A">
        <w:rPr>
          <w:rFonts w:ascii="Segoe UI" w:hAnsi="Segoe UI" w:cs="Segoe UI"/>
          <w:sz w:val="20"/>
          <w:szCs w:val="20"/>
          <w:lang w:val="ka-GE"/>
        </w:rPr>
        <w:t xml:space="preserve">, რის პირობებშიც საბაზისო სცენარი ითვალისწინებს </w:t>
      </w:r>
      <w:r w:rsidR="00F915B2">
        <w:rPr>
          <w:rFonts w:ascii="Segoe UI" w:hAnsi="Segoe UI" w:cs="Segoe UI"/>
          <w:sz w:val="20"/>
          <w:szCs w:val="20"/>
          <w:lang w:val="ka-GE"/>
        </w:rPr>
        <w:t xml:space="preserve">2025 </w:t>
      </w:r>
      <w:r w:rsidR="00ED763A">
        <w:rPr>
          <w:rFonts w:ascii="Segoe UI" w:hAnsi="Segoe UI" w:cs="Segoe UI"/>
          <w:sz w:val="20"/>
          <w:szCs w:val="20"/>
          <w:lang w:val="ka-GE"/>
        </w:rPr>
        <w:t>წლისათვის მთავრობის ვალის მშპ-ს 50 პროცენტზე ქვემოთ შემცირებას. ვინაიდან საშუალოვადიან პერიოდში პანდემიამდელ ნიშნულზე დაბრუნება შეუძლებელია მნიშვნელოვანი ნეგატიური ფისკალური იმპულსის გარეშე, კონსოლიდაციის პროცესი დაგეგმილია არამხოლოდ რაოდენობრივად მთლიანი ვალის შემცირებით, არამედ აგრეთვე შიდა ვალის წილის ზრდით, რაც ვალის პორტფელს რისკებისადმი ნაკლებად მოწყვლადს ხდის და ამავდროულად ხელს უწყობს კაპიტალის ბაზრის განვითარებას.</w:t>
      </w:r>
    </w:p>
    <w:p w:rsidR="000A4D4A" w:rsidRDefault="00F729C6" w:rsidP="00F729C6">
      <w:pPr>
        <w:tabs>
          <w:tab w:val="left" w:pos="900"/>
        </w:tabs>
        <w:rPr>
          <w:rFonts w:ascii="Sylfaen" w:hAnsi="Sylfaen"/>
          <w:lang w:val="ka-GE"/>
        </w:rPr>
      </w:pPr>
      <w:r>
        <w:rPr>
          <w:rFonts w:ascii="Sylfaen" w:hAnsi="Sylfaen"/>
          <w:lang w:val="ka-GE"/>
        </w:rPr>
        <w:tab/>
      </w:r>
    </w:p>
    <w:p w:rsidR="000A4D4A" w:rsidRPr="005D4934" w:rsidRDefault="000A4D4A" w:rsidP="000A4D4A">
      <w:pPr>
        <w:pStyle w:val="Heading1"/>
        <w:numPr>
          <w:ilvl w:val="0"/>
          <w:numId w:val="4"/>
        </w:numPr>
        <w:ind w:left="360" w:hanging="360"/>
        <w:rPr>
          <w:b/>
          <w:bCs w:val="0"/>
          <w:sz w:val="28"/>
          <w:szCs w:val="28"/>
          <w:lang w:val="ka-GE"/>
        </w:rPr>
      </w:pPr>
      <w:r w:rsidRPr="005D4934">
        <w:rPr>
          <w:b/>
          <w:bCs w:val="0"/>
          <w:sz w:val="28"/>
          <w:szCs w:val="28"/>
          <w:lang w:val="ka-GE"/>
        </w:rPr>
        <w:t>საშუალოვადიანი პერიოდის რისკები</w:t>
      </w:r>
    </w:p>
    <w:p w:rsidR="00E54FF5" w:rsidRPr="004E77CF" w:rsidRDefault="00E54FF5">
      <w:pPr>
        <w:spacing w:line="276" w:lineRule="auto"/>
        <w:ind w:firstLine="540"/>
        <w:jc w:val="both"/>
        <w:rPr>
          <w:rFonts w:ascii="Segoe UI" w:hAnsi="Segoe UI" w:cs="Segoe UI"/>
          <w:sz w:val="20"/>
          <w:szCs w:val="20"/>
          <w:lang w:val="ka-GE"/>
        </w:rPr>
      </w:pPr>
      <w:r>
        <w:rPr>
          <w:rFonts w:ascii="Segoe UI" w:hAnsi="Segoe UI" w:cs="Segoe UI"/>
          <w:sz w:val="20"/>
          <w:szCs w:val="20"/>
          <w:lang w:val="ka-GE"/>
        </w:rPr>
        <w:t>საშუალოვადიანი პერიოდის რი</w:t>
      </w:r>
      <w:r w:rsidR="00B60B62">
        <w:rPr>
          <w:rFonts w:ascii="Segoe UI" w:hAnsi="Segoe UI" w:cs="Segoe UI"/>
          <w:sz w:val="20"/>
          <w:szCs w:val="20"/>
          <w:lang w:val="ka-GE"/>
        </w:rPr>
        <w:t>ს</w:t>
      </w:r>
      <w:r>
        <w:rPr>
          <w:rFonts w:ascii="Segoe UI" w:hAnsi="Segoe UI" w:cs="Segoe UI"/>
          <w:sz w:val="20"/>
          <w:szCs w:val="20"/>
          <w:lang w:val="ka-GE"/>
        </w:rPr>
        <w:t>კები, ეკონომიკის განვითარების ისტორიულ ტენდენციაბთან ერთად</w:t>
      </w:r>
      <w:r w:rsidR="00DD11F1">
        <w:rPr>
          <w:rFonts w:ascii="Segoe UI" w:hAnsi="Segoe UI" w:cs="Segoe UI"/>
          <w:sz w:val="20"/>
          <w:szCs w:val="20"/>
          <w:lang w:val="ka-GE"/>
        </w:rPr>
        <w:t>,</w:t>
      </w:r>
      <w:r>
        <w:rPr>
          <w:rFonts w:ascii="Segoe UI" w:hAnsi="Segoe UI" w:cs="Segoe UI"/>
          <w:sz w:val="20"/>
          <w:szCs w:val="20"/>
          <w:lang w:val="ka-GE"/>
        </w:rPr>
        <w:t xml:space="preserve"> საშუალვოადიანი მაკროეკონომიკური პროგნოზების მთავარი განმსაზღ</w:t>
      </w:r>
      <w:r w:rsidR="00B60B62">
        <w:rPr>
          <w:rFonts w:ascii="Segoe UI" w:hAnsi="Segoe UI" w:cs="Segoe UI"/>
          <w:sz w:val="20"/>
          <w:szCs w:val="20"/>
          <w:lang w:val="ka-GE"/>
        </w:rPr>
        <w:t>ვრელი ფაქტორია</w:t>
      </w:r>
      <w:r>
        <w:rPr>
          <w:rFonts w:ascii="Segoe UI" w:hAnsi="Segoe UI" w:cs="Segoe UI"/>
          <w:sz w:val="20"/>
          <w:szCs w:val="20"/>
          <w:lang w:val="ka-GE"/>
        </w:rPr>
        <w:t xml:space="preserve">. </w:t>
      </w:r>
      <w:r w:rsidR="00B60B62" w:rsidRPr="00F90420">
        <w:rPr>
          <w:rFonts w:ascii="Segoe UI" w:hAnsi="Segoe UI" w:cs="Segoe UI"/>
          <w:sz w:val="20"/>
          <w:szCs w:val="20"/>
        </w:rPr>
        <w:t>აღნიშნული რისკ-ფაქტორების ალბათობების ანალიზი საფუძვლად ედება ფინანსთა სამინისტროს ეკონომიკური პროგნოზირების მოდელის დაშვებებს, რის საფუძველზეც ხდება</w:t>
      </w:r>
      <w:r w:rsidR="00B60B62">
        <w:rPr>
          <w:rFonts w:ascii="Segoe UI" w:hAnsi="Segoe UI" w:cs="Segoe UI"/>
          <w:sz w:val="20"/>
          <w:szCs w:val="20"/>
          <w:lang w:val="ka-GE"/>
        </w:rPr>
        <w:t xml:space="preserve"> საბაზო და</w:t>
      </w:r>
      <w:r w:rsidR="00B60B62" w:rsidRPr="00F90420">
        <w:rPr>
          <w:rFonts w:ascii="Segoe UI" w:hAnsi="Segoe UI" w:cs="Segoe UI"/>
          <w:sz w:val="20"/>
          <w:szCs w:val="20"/>
        </w:rPr>
        <w:t xml:space="preserve"> ალტერნატიული სცენარების შემუშავება. </w:t>
      </w:r>
      <w:r w:rsidR="00B60B62">
        <w:rPr>
          <w:rFonts w:ascii="Segoe UI" w:hAnsi="Segoe UI" w:cs="Segoe UI"/>
          <w:sz w:val="20"/>
          <w:szCs w:val="20"/>
          <w:lang w:val="ka-GE"/>
        </w:rPr>
        <w:t>ფინანსთა სამინისტრო რეგულარულად გადახედავს როგორც ეკონომიკის განვითარების ტენდენციებს, აგრეთვე საშუალოვადიან პერიოდში მოსალოდნელ რისკებს. სხვა თანაბარ პირობებში, როგორც წესი, ეკონომიკის მიმდინარე ტენდეციების ცვლილებას შედარებით მოკლევადიანი გავლენა აქვთ</w:t>
      </w:r>
      <w:r w:rsidR="00DD11F1">
        <w:rPr>
          <w:rFonts w:ascii="Segoe UI" w:hAnsi="Segoe UI" w:cs="Segoe UI"/>
          <w:sz w:val="20"/>
          <w:szCs w:val="20"/>
          <w:lang w:val="ka-GE"/>
        </w:rPr>
        <w:t xml:space="preserve"> ეკონომიკურ პროგნოზებზე და მიმდინარე პერიოდის ცვლილება კომპენსირდება შემდგომ პერიოდებში, ხოლო საშუალოვადიანი პროგნოზები უმეტესწილად დამოკიდებულია საშუალოვადიანი პერიოდის რისკებზე.</w:t>
      </w:r>
    </w:p>
    <w:p w:rsidR="00D51654" w:rsidRPr="00F90420" w:rsidRDefault="00D51654" w:rsidP="00F90420">
      <w:pPr>
        <w:spacing w:line="276" w:lineRule="auto"/>
        <w:ind w:firstLine="540"/>
        <w:jc w:val="both"/>
        <w:rPr>
          <w:rFonts w:ascii="Segoe UI" w:hAnsi="Segoe UI" w:cs="Segoe UI"/>
          <w:sz w:val="20"/>
          <w:szCs w:val="20"/>
        </w:rPr>
      </w:pPr>
      <w:r w:rsidRPr="00F90420">
        <w:rPr>
          <w:rFonts w:ascii="Segoe UI" w:hAnsi="Segoe UI" w:cs="Segoe UI"/>
          <w:sz w:val="20"/>
          <w:szCs w:val="20"/>
        </w:rPr>
        <w:t>პოსტპანდემიურ პერიოდში განსაკუთრებით მნიშვნელოვანია რისკ-ფაქტორების ანალიზი</w:t>
      </w:r>
      <w:r w:rsidR="00DD11F1">
        <w:rPr>
          <w:rFonts w:ascii="Segoe UI" w:hAnsi="Segoe UI" w:cs="Segoe UI"/>
          <w:sz w:val="20"/>
          <w:szCs w:val="20"/>
          <w:lang w:val="ka-GE"/>
        </w:rPr>
        <w:t xml:space="preserve">, </w:t>
      </w:r>
      <w:r w:rsidR="00FB58A1">
        <w:rPr>
          <w:rFonts w:ascii="Segoe UI" w:hAnsi="Segoe UI" w:cs="Segoe UI"/>
          <w:sz w:val="20"/>
          <w:szCs w:val="20"/>
          <w:lang w:val="ka-GE"/>
        </w:rPr>
        <w:t>რადგან</w:t>
      </w:r>
      <w:r w:rsidR="00ED763A">
        <w:rPr>
          <w:rFonts w:ascii="Segoe UI" w:hAnsi="Segoe UI" w:cs="Segoe UI"/>
          <w:sz w:val="20"/>
          <w:szCs w:val="20"/>
          <w:lang w:val="ka-GE"/>
        </w:rPr>
        <w:t xml:space="preserve"> </w:t>
      </w:r>
      <w:r w:rsidRPr="00F90420">
        <w:rPr>
          <w:rFonts w:ascii="Segoe UI" w:hAnsi="Segoe UI" w:cs="Segoe UI"/>
          <w:sz w:val="20"/>
          <w:szCs w:val="20"/>
        </w:rPr>
        <w:t>პანდემიის შედეგად გაზრდილია ეკონომიკის მოწყვლადობა შოკების მიმართ და ახლა გაცილებით საყურადღებოა რისკების მონოტორინგი, ხოლო მეორე მხრივ, პანდემიას არამხოლოდ პირდაპირი გავლენა აქვს ჯანდაცვასა და ეკონომიკაზე, არამედ მას შეიძლება ქონდეს არაპირდაპირი გავლენა სხვადასხვა რისკების მატერიალიზაციის ალბათობაზე.</w:t>
      </w:r>
    </w:p>
    <w:p w:rsidR="00ED763A" w:rsidRPr="00F90420" w:rsidRDefault="00ED763A" w:rsidP="00F90420">
      <w:pPr>
        <w:spacing w:line="276" w:lineRule="auto"/>
        <w:ind w:firstLine="540"/>
        <w:jc w:val="both"/>
        <w:rPr>
          <w:rFonts w:ascii="Segoe UI" w:hAnsi="Segoe UI" w:cs="Segoe UI"/>
          <w:sz w:val="20"/>
          <w:szCs w:val="20"/>
        </w:rPr>
      </w:pPr>
    </w:p>
    <w:p w:rsidR="000A4D4A" w:rsidRPr="00190D83" w:rsidRDefault="009E2E9F" w:rsidP="00190D83">
      <w:pPr>
        <w:pStyle w:val="Heading2"/>
      </w:pPr>
      <w:r w:rsidRPr="00190D83">
        <w:t>პანდემიის გამწვავება</w:t>
      </w:r>
    </w:p>
    <w:p w:rsidR="00862AF3" w:rsidRPr="00C83535" w:rsidRDefault="009E2E9F" w:rsidP="00C83535">
      <w:pPr>
        <w:spacing w:line="276" w:lineRule="auto"/>
        <w:ind w:firstLine="540"/>
        <w:jc w:val="both"/>
        <w:rPr>
          <w:rFonts w:ascii="Segoe UI" w:hAnsi="Segoe UI" w:cs="Segoe UI"/>
          <w:sz w:val="20"/>
          <w:szCs w:val="20"/>
          <w:lang w:val="ka-GE"/>
        </w:rPr>
      </w:pPr>
      <w:r w:rsidRPr="004E77CF">
        <w:rPr>
          <w:rFonts w:ascii="Segoe UI" w:hAnsi="Segoe UI" w:cs="Segoe UI"/>
          <w:sz w:val="20"/>
          <w:szCs w:val="20"/>
          <w:lang w:val="ka-GE"/>
        </w:rPr>
        <w:t>ვაქცინაციის პროცესი დაწყებულია მთელ მს</w:t>
      </w:r>
      <w:r w:rsidR="00774D79">
        <w:rPr>
          <w:rFonts w:ascii="Segoe UI" w:hAnsi="Segoe UI" w:cs="Segoe UI"/>
          <w:sz w:val="20"/>
          <w:szCs w:val="20"/>
          <w:lang w:val="ka-GE"/>
        </w:rPr>
        <w:t>ო</w:t>
      </w:r>
      <w:r w:rsidRPr="004E77CF">
        <w:rPr>
          <w:rFonts w:ascii="Segoe UI" w:hAnsi="Segoe UI" w:cs="Segoe UI"/>
          <w:sz w:val="20"/>
          <w:szCs w:val="20"/>
          <w:lang w:val="ka-GE"/>
        </w:rPr>
        <w:t xml:space="preserve">ფლიოში სხვადასხვა ტემპებით. საქართველოში დაგეგმილია წლის ბოლომდე 60 პროცენტის ვაქცინაცია. </w:t>
      </w:r>
      <w:r w:rsidR="00862AF3" w:rsidRPr="004E77CF">
        <w:rPr>
          <w:rFonts w:ascii="Segoe UI" w:hAnsi="Segoe UI" w:cs="Segoe UI"/>
          <w:sz w:val="20"/>
          <w:szCs w:val="20"/>
          <w:lang w:val="ka-GE"/>
        </w:rPr>
        <w:t xml:space="preserve">ასეთ პირობებში </w:t>
      </w:r>
      <w:r w:rsidR="008D588C" w:rsidRPr="004E77CF">
        <w:rPr>
          <w:rFonts w:ascii="Segoe UI" w:hAnsi="Segoe UI" w:cs="Segoe UI"/>
          <w:sz w:val="20"/>
          <w:szCs w:val="20"/>
          <w:lang w:val="ka-GE"/>
        </w:rPr>
        <w:t>მ</w:t>
      </w:r>
      <w:r w:rsidR="00862AF3" w:rsidRPr="004E77CF">
        <w:rPr>
          <w:rFonts w:ascii="Segoe UI" w:hAnsi="Segoe UI" w:cs="Segoe UI"/>
          <w:sz w:val="20"/>
          <w:szCs w:val="20"/>
          <w:lang w:val="ka-GE"/>
        </w:rPr>
        <w:t xml:space="preserve">ინიმალურია პანდემიის ახალი მძალვრი ტალღის განვითარების რისკები. </w:t>
      </w:r>
      <w:r w:rsidRPr="004E77CF">
        <w:rPr>
          <w:rFonts w:ascii="Segoe UI" w:hAnsi="Segoe UI" w:cs="Segoe UI"/>
          <w:sz w:val="20"/>
          <w:szCs w:val="20"/>
          <w:lang w:val="ka-GE"/>
        </w:rPr>
        <w:t>მიუხედავად ამისა,</w:t>
      </w:r>
      <w:r w:rsidRPr="00F90420">
        <w:rPr>
          <w:rFonts w:ascii="Segoe UI" w:hAnsi="Segoe UI" w:cs="Segoe UI"/>
          <w:sz w:val="20"/>
          <w:szCs w:val="20"/>
        </w:rPr>
        <w:t xml:space="preserve"> </w:t>
      </w:r>
      <w:r w:rsidR="00862AF3" w:rsidRPr="00F90420">
        <w:rPr>
          <w:rFonts w:ascii="Segoe UI" w:hAnsi="Segoe UI" w:cs="Segoe UI"/>
          <w:sz w:val="20"/>
          <w:szCs w:val="20"/>
        </w:rPr>
        <w:t xml:space="preserve">ზოგიერთი ახალი შტამი უფრო მკაცრ ეპიდემიოლოგიურ სურათს იძლევა და </w:t>
      </w:r>
      <w:r w:rsidR="008D588C" w:rsidRPr="00F90420">
        <w:rPr>
          <w:rFonts w:ascii="Segoe UI" w:hAnsi="Segoe UI" w:cs="Segoe UI"/>
          <w:sz w:val="20"/>
          <w:szCs w:val="20"/>
        </w:rPr>
        <w:t>ა</w:t>
      </w:r>
      <w:r w:rsidR="00862AF3" w:rsidRPr="00F90420">
        <w:rPr>
          <w:rFonts w:ascii="Segoe UI" w:hAnsi="Segoe UI" w:cs="Segoe UI"/>
          <w:sz w:val="20"/>
          <w:szCs w:val="20"/>
        </w:rPr>
        <w:t>რსებობს რისკები, რომ არსებული, თუ პოტენციური ახალი შტამების პირობებში იქნება თუ არა არსებული ვაქცინებით 60%-იანი ვაქცინაცია საკმარისი ეპიდემიოლოგიური მდგომარების მართვისთვის.</w:t>
      </w:r>
      <w:r w:rsidR="00774D79">
        <w:rPr>
          <w:rFonts w:ascii="Segoe UI" w:hAnsi="Segoe UI" w:cs="Segoe UI"/>
          <w:sz w:val="20"/>
          <w:szCs w:val="20"/>
          <w:lang w:val="ka-GE"/>
        </w:rPr>
        <w:t xml:space="preserve"> </w:t>
      </w:r>
      <w:r w:rsidR="00ED763A">
        <w:rPr>
          <w:rFonts w:ascii="Segoe UI" w:hAnsi="Segoe UI" w:cs="Segoe UI"/>
          <w:sz w:val="20"/>
          <w:szCs w:val="20"/>
          <w:lang w:val="ka-GE"/>
        </w:rPr>
        <w:t>ამავდროეულად</w:t>
      </w:r>
      <w:r w:rsidR="00774D79">
        <w:rPr>
          <w:rFonts w:ascii="Segoe UI" w:hAnsi="Segoe UI" w:cs="Segoe UI"/>
          <w:sz w:val="20"/>
          <w:szCs w:val="20"/>
          <w:lang w:val="ka-GE"/>
        </w:rPr>
        <w:t>, უნდა აღინიშნოს, რომ საქართველოში ვაქცინინაცია მიმდინარეობს შედარებით ნელი ტემპებით</w:t>
      </w:r>
      <w:r w:rsidR="00ED763A">
        <w:rPr>
          <w:rFonts w:ascii="Segoe UI" w:hAnsi="Segoe UI" w:cs="Segoe UI"/>
          <w:sz w:val="20"/>
          <w:szCs w:val="20"/>
          <w:lang w:val="ka-GE"/>
        </w:rPr>
        <w:t>,</w:t>
      </w:r>
      <w:r w:rsidR="00774D79">
        <w:rPr>
          <w:rFonts w:ascii="Segoe UI" w:hAnsi="Segoe UI" w:cs="Segoe UI"/>
          <w:sz w:val="20"/>
          <w:szCs w:val="20"/>
          <w:lang w:val="ka-GE"/>
        </w:rPr>
        <w:t xml:space="preserve"> </w:t>
      </w:r>
      <w:r w:rsidR="00ED763A">
        <w:rPr>
          <w:rFonts w:ascii="Segoe UI" w:hAnsi="Segoe UI" w:cs="Segoe UI"/>
          <w:sz w:val="20"/>
          <w:szCs w:val="20"/>
          <w:lang w:val="ka-GE"/>
        </w:rPr>
        <w:t xml:space="preserve">რაც დასახული მიზნის მიღწევის პერსპექტივას ბუნდოვანს ხდის. </w:t>
      </w:r>
      <w:r w:rsidR="00774D79">
        <w:rPr>
          <w:rFonts w:ascii="Segoe UI" w:hAnsi="Segoe UI" w:cs="Segoe UI"/>
          <w:sz w:val="20"/>
          <w:szCs w:val="20"/>
          <w:lang w:val="ka-GE"/>
        </w:rPr>
        <w:t xml:space="preserve">კერძოდ, </w:t>
      </w:r>
      <w:r w:rsidR="003A54A5">
        <w:rPr>
          <w:rFonts w:ascii="Segoe UI" w:hAnsi="Segoe UI" w:cs="Segoe UI"/>
          <w:sz w:val="20"/>
          <w:szCs w:val="20"/>
          <w:lang w:val="ka-GE"/>
        </w:rPr>
        <w:t>3 ნოემბრის</w:t>
      </w:r>
      <w:r w:rsidR="00774D79">
        <w:rPr>
          <w:rFonts w:ascii="Segoe UI" w:hAnsi="Segoe UI" w:cs="Segoe UI"/>
          <w:sz w:val="20"/>
          <w:szCs w:val="20"/>
          <w:lang w:val="ka-GE"/>
        </w:rPr>
        <w:t xml:space="preserve"> მდგომარეობით</w:t>
      </w:r>
      <w:r w:rsidR="00366CF3">
        <w:rPr>
          <w:rFonts w:ascii="Segoe UI" w:hAnsi="Segoe UI" w:cs="Segoe UI"/>
          <w:sz w:val="20"/>
          <w:szCs w:val="20"/>
          <w:lang w:val="ka-GE"/>
        </w:rPr>
        <w:t xml:space="preserve"> </w:t>
      </w:r>
      <w:r w:rsidR="00366CF3">
        <w:rPr>
          <w:rFonts w:ascii="Segoe UI" w:hAnsi="Segoe UI" w:cs="Segoe UI"/>
          <w:sz w:val="20"/>
          <w:szCs w:val="20"/>
        </w:rPr>
        <w:t>(</w:t>
      </w:r>
      <w:r w:rsidR="00366CF3">
        <w:rPr>
          <w:rFonts w:ascii="Segoe UI" w:hAnsi="Segoe UI" w:cs="Segoe UI"/>
          <w:sz w:val="20"/>
          <w:szCs w:val="20"/>
          <w:lang w:val="ka-GE"/>
        </w:rPr>
        <w:t>უკანასკნელი ხელმისაწვდომი მონაცემები ვაქცინაციის შესახებ)</w:t>
      </w:r>
      <w:r w:rsidR="00774D79">
        <w:rPr>
          <w:rFonts w:ascii="Segoe UI" w:hAnsi="Segoe UI" w:cs="Segoe UI"/>
          <w:sz w:val="20"/>
          <w:szCs w:val="20"/>
          <w:lang w:val="ka-GE"/>
        </w:rPr>
        <w:t>, სრულიად აცრილია მოსახლეობის მხოლოდ</w:t>
      </w:r>
      <w:r w:rsidR="00C83535">
        <w:rPr>
          <w:rFonts w:ascii="Segoe UI" w:hAnsi="Segoe UI" w:cs="Segoe UI"/>
          <w:sz w:val="20"/>
          <w:szCs w:val="20"/>
          <w:lang w:val="ka-GE"/>
        </w:rPr>
        <w:t xml:space="preserve"> </w:t>
      </w:r>
      <w:r w:rsidR="00BE6527">
        <w:rPr>
          <w:rFonts w:ascii="Segoe UI" w:hAnsi="Segoe UI" w:cs="Segoe UI"/>
          <w:sz w:val="20"/>
          <w:szCs w:val="20"/>
          <w:lang w:val="ka-GE"/>
        </w:rPr>
        <w:t>2</w:t>
      </w:r>
      <w:r w:rsidR="003A54A5">
        <w:rPr>
          <w:rFonts w:ascii="Segoe UI" w:hAnsi="Segoe UI" w:cs="Segoe UI"/>
          <w:sz w:val="20"/>
          <w:szCs w:val="20"/>
          <w:lang w:val="ka-GE"/>
        </w:rPr>
        <w:t>5.5</w:t>
      </w:r>
      <w:r w:rsidR="00BE6527">
        <w:rPr>
          <w:rFonts w:ascii="Segoe UI" w:hAnsi="Segoe UI" w:cs="Segoe UI"/>
          <w:sz w:val="20"/>
          <w:szCs w:val="20"/>
          <w:lang w:val="ka-GE"/>
        </w:rPr>
        <w:t xml:space="preserve"> </w:t>
      </w:r>
      <w:r w:rsidR="00774D79">
        <w:rPr>
          <w:rFonts w:ascii="Segoe UI" w:hAnsi="Segoe UI" w:cs="Segoe UI"/>
          <w:sz w:val="20"/>
          <w:szCs w:val="20"/>
          <w:lang w:val="ka-GE"/>
        </w:rPr>
        <w:t xml:space="preserve">პროცენტი, ხოლო მინიმუმ ერთი დოზა მიღებული აქვს მოსახლეობის </w:t>
      </w:r>
      <w:r w:rsidR="003A54A5">
        <w:rPr>
          <w:rFonts w:ascii="Segoe UI" w:hAnsi="Segoe UI" w:cs="Segoe UI"/>
          <w:sz w:val="20"/>
          <w:szCs w:val="20"/>
          <w:lang w:val="ka-GE"/>
        </w:rPr>
        <w:t>28.1</w:t>
      </w:r>
      <w:r w:rsidR="00774D79">
        <w:rPr>
          <w:rFonts w:ascii="Segoe UI" w:hAnsi="Segoe UI" w:cs="Segoe UI"/>
          <w:sz w:val="20"/>
          <w:szCs w:val="20"/>
          <w:lang w:val="ka-GE"/>
        </w:rPr>
        <w:t xml:space="preserve"> პროცენტს. </w:t>
      </w:r>
      <w:r w:rsidR="006E02DC">
        <w:rPr>
          <w:rFonts w:ascii="Segoe UI" w:hAnsi="Segoe UI" w:cs="Segoe UI"/>
          <w:sz w:val="20"/>
          <w:szCs w:val="20"/>
          <w:lang w:val="ka-GE"/>
        </w:rPr>
        <w:t xml:space="preserve">მსგავსი </w:t>
      </w:r>
      <w:r w:rsidR="00774D79">
        <w:rPr>
          <w:rFonts w:ascii="Segoe UI" w:hAnsi="Segoe UI" w:cs="Segoe UI"/>
          <w:sz w:val="20"/>
          <w:szCs w:val="20"/>
          <w:lang w:val="ka-GE"/>
        </w:rPr>
        <w:t>მ</w:t>
      </w:r>
      <w:r w:rsidR="006E02DC">
        <w:rPr>
          <w:rFonts w:ascii="Segoe UI" w:hAnsi="Segoe UI" w:cs="Segoe UI"/>
          <w:sz w:val="20"/>
          <w:szCs w:val="20"/>
          <w:lang w:val="ka-GE"/>
        </w:rPr>
        <w:t>ა</w:t>
      </w:r>
      <w:r w:rsidR="00774D79">
        <w:rPr>
          <w:rFonts w:ascii="Segoe UI" w:hAnsi="Segoe UI" w:cs="Segoe UI"/>
          <w:sz w:val="20"/>
          <w:szCs w:val="20"/>
          <w:lang w:val="ka-GE"/>
        </w:rPr>
        <w:t xml:space="preserve">ჩვენებელი ევროკავშირში უდრის </w:t>
      </w:r>
      <w:r w:rsidR="003A54A5">
        <w:rPr>
          <w:rFonts w:ascii="Segoe UI" w:hAnsi="Segoe UI" w:cs="Segoe UI"/>
          <w:sz w:val="20"/>
          <w:szCs w:val="20"/>
          <w:lang w:val="ka-GE"/>
        </w:rPr>
        <w:t>65.4</w:t>
      </w:r>
      <w:r w:rsidR="00774D79">
        <w:rPr>
          <w:rFonts w:ascii="Segoe UI" w:hAnsi="Segoe UI" w:cs="Segoe UI"/>
          <w:sz w:val="20"/>
          <w:szCs w:val="20"/>
          <w:lang w:val="ka-GE"/>
        </w:rPr>
        <w:t xml:space="preserve"> პროცენტს</w:t>
      </w:r>
      <w:r w:rsidR="006E02DC">
        <w:rPr>
          <w:rFonts w:ascii="Segoe UI" w:hAnsi="Segoe UI" w:cs="Segoe UI"/>
          <w:sz w:val="20"/>
          <w:szCs w:val="20"/>
          <w:lang w:val="ka-GE"/>
        </w:rPr>
        <w:t xml:space="preserve"> და </w:t>
      </w:r>
      <w:r w:rsidR="003A54A5">
        <w:rPr>
          <w:rFonts w:ascii="Segoe UI" w:hAnsi="Segoe UI" w:cs="Segoe UI"/>
          <w:sz w:val="20"/>
          <w:szCs w:val="20"/>
          <w:lang w:val="ka-GE"/>
        </w:rPr>
        <w:t>68.9</w:t>
      </w:r>
      <w:r w:rsidR="00774D79">
        <w:rPr>
          <w:rFonts w:ascii="Segoe UI" w:hAnsi="Segoe UI" w:cs="Segoe UI"/>
          <w:sz w:val="20"/>
          <w:szCs w:val="20"/>
          <w:lang w:val="ka-GE"/>
        </w:rPr>
        <w:t xml:space="preserve"> </w:t>
      </w:r>
      <w:r w:rsidR="006E02DC">
        <w:rPr>
          <w:rFonts w:ascii="Segoe UI" w:hAnsi="Segoe UI" w:cs="Segoe UI"/>
          <w:sz w:val="20"/>
          <w:szCs w:val="20"/>
          <w:lang w:val="ka-GE"/>
        </w:rPr>
        <w:t>პროცენტს შესაბამისად.</w:t>
      </w:r>
      <w:r w:rsidR="0088185A">
        <w:rPr>
          <w:rFonts w:ascii="Segoe UI" w:hAnsi="Segoe UI" w:cs="Segoe UI"/>
          <w:sz w:val="20"/>
          <w:szCs w:val="20"/>
          <w:lang w:val="ka-GE"/>
        </w:rPr>
        <w:t xml:space="preserve"> </w:t>
      </w:r>
      <w:r w:rsidR="00C83535">
        <w:rPr>
          <w:rFonts w:ascii="Segoe UI" w:hAnsi="Segoe UI" w:cs="Segoe UI"/>
          <w:sz w:val="20"/>
          <w:szCs w:val="20"/>
          <w:lang w:val="ka-GE"/>
        </w:rPr>
        <w:t>აქედან გამომდინარე</w:t>
      </w:r>
      <w:r w:rsidR="0088185A">
        <w:rPr>
          <w:rFonts w:ascii="Segoe UI" w:hAnsi="Segoe UI" w:cs="Segoe UI"/>
          <w:sz w:val="20"/>
          <w:szCs w:val="20"/>
          <w:lang w:val="ka-GE"/>
        </w:rPr>
        <w:t xml:space="preserve">, ახალი შტამის გამოჩენა და ვაქცინაციის შედარებით ნელი ტემპი ქმნის დამატებით რისკებს ეკონომიკური აღდგენის მიმართ, რადგან ინფიცირების დღიურ ზრდასთან ერთად დღის წესრიგში დგება დამატებითი სოციალური დისტანცირების </w:t>
      </w:r>
      <w:r w:rsidR="00DC2843">
        <w:rPr>
          <w:rFonts w:ascii="Segoe UI" w:hAnsi="Segoe UI" w:cs="Segoe UI"/>
          <w:sz w:val="20"/>
          <w:szCs w:val="20"/>
          <w:lang w:val="ka-GE"/>
        </w:rPr>
        <w:t>ღონსიძიებების შემოღება და ეკონომიკური აქტივობის შემცირება.</w:t>
      </w:r>
      <w:r w:rsidR="00402268">
        <w:rPr>
          <w:rFonts w:ascii="Segoe UI" w:hAnsi="Segoe UI" w:cs="Segoe UI"/>
          <w:sz w:val="20"/>
          <w:szCs w:val="20"/>
          <w:lang w:val="ka-GE"/>
        </w:rPr>
        <w:t xml:space="preserve"> პანდემიის დამატებით გამწვავების პირობებში, შესაძლებელია  </w:t>
      </w:r>
      <w:r w:rsidR="00402268" w:rsidRPr="00402268">
        <w:rPr>
          <w:rFonts w:ascii="Segoe UI" w:hAnsi="Segoe UI" w:cs="Segoe UI"/>
          <w:sz w:val="20"/>
          <w:szCs w:val="20"/>
          <w:lang w:val="ka-GE"/>
        </w:rPr>
        <w:t xml:space="preserve">კაპიტალის </w:t>
      </w:r>
      <w:r w:rsidR="00402268">
        <w:rPr>
          <w:rFonts w:ascii="Segoe UI" w:hAnsi="Segoe UI" w:cs="Segoe UI"/>
          <w:sz w:val="20"/>
          <w:szCs w:val="20"/>
          <w:lang w:val="ka-GE"/>
        </w:rPr>
        <w:t>გადინების</w:t>
      </w:r>
      <w:r w:rsidR="00402268" w:rsidRPr="00402268">
        <w:rPr>
          <w:rFonts w:ascii="Segoe UI" w:hAnsi="Segoe UI" w:cs="Segoe UI"/>
          <w:sz w:val="20"/>
          <w:szCs w:val="20"/>
          <w:lang w:val="ka-GE"/>
        </w:rPr>
        <w:t xml:space="preserve"> </w:t>
      </w:r>
      <w:r w:rsidR="00402268">
        <w:rPr>
          <w:rFonts w:ascii="Segoe UI" w:hAnsi="Segoe UI" w:cs="Segoe UI"/>
          <w:sz w:val="20"/>
          <w:szCs w:val="20"/>
          <w:lang w:val="ka-GE"/>
        </w:rPr>
        <w:t>(</w:t>
      </w:r>
      <w:r w:rsidR="00402268" w:rsidRPr="00402268">
        <w:rPr>
          <w:rFonts w:ascii="Segoe UI" w:hAnsi="Segoe UI" w:cs="Segoe UI"/>
          <w:sz w:val="20"/>
          <w:szCs w:val="20"/>
          <w:lang w:val="ka-GE"/>
        </w:rPr>
        <w:t xml:space="preserve">მიმდინარე ანგარიშის მაღალი დეფიციტის </w:t>
      </w:r>
      <w:r w:rsidR="00402268">
        <w:rPr>
          <w:rFonts w:ascii="Segoe UI" w:hAnsi="Segoe UI" w:cs="Segoe UI"/>
          <w:sz w:val="20"/>
          <w:szCs w:val="20"/>
          <w:lang w:val="ka-GE"/>
        </w:rPr>
        <w:t xml:space="preserve">გათვალისწინებით) </w:t>
      </w:r>
      <w:r w:rsidR="00402268" w:rsidRPr="00402268">
        <w:rPr>
          <w:rFonts w:ascii="Segoe UI" w:hAnsi="Segoe UI" w:cs="Segoe UI"/>
          <w:sz w:val="20"/>
          <w:szCs w:val="20"/>
          <w:lang w:val="ka-GE"/>
        </w:rPr>
        <w:t xml:space="preserve">და მნიშვნელოვანი გარე დაფინანსების </w:t>
      </w:r>
      <w:r w:rsidR="00402268">
        <w:rPr>
          <w:rFonts w:ascii="Segoe UI" w:hAnsi="Segoe UI" w:cs="Segoe UI"/>
          <w:sz w:val="20"/>
          <w:szCs w:val="20"/>
          <w:lang w:val="ka-GE"/>
        </w:rPr>
        <w:t>საჭიროების გამო</w:t>
      </w:r>
      <w:r w:rsidR="00402268" w:rsidRPr="00402268">
        <w:rPr>
          <w:rFonts w:ascii="Segoe UI" w:hAnsi="Segoe UI" w:cs="Segoe UI"/>
          <w:sz w:val="20"/>
          <w:szCs w:val="20"/>
          <w:lang w:val="ka-GE"/>
        </w:rPr>
        <w:t xml:space="preserve"> საფრთხე </w:t>
      </w:r>
      <w:r w:rsidR="00402268">
        <w:rPr>
          <w:rFonts w:ascii="Segoe UI" w:hAnsi="Segoe UI" w:cs="Segoe UI"/>
          <w:sz w:val="20"/>
          <w:szCs w:val="20"/>
          <w:lang w:val="ka-GE"/>
        </w:rPr>
        <w:t>შეე</w:t>
      </w:r>
      <w:r w:rsidR="00402268" w:rsidRPr="00402268">
        <w:rPr>
          <w:rFonts w:ascii="Segoe UI" w:hAnsi="Segoe UI" w:cs="Segoe UI"/>
          <w:sz w:val="20"/>
          <w:szCs w:val="20"/>
          <w:lang w:val="ka-GE"/>
        </w:rPr>
        <w:t>ქმნ</w:t>
      </w:r>
      <w:r w:rsidR="00942F58">
        <w:rPr>
          <w:rFonts w:ascii="Segoe UI" w:hAnsi="Segoe UI" w:cs="Segoe UI"/>
          <w:sz w:val="20"/>
          <w:szCs w:val="20"/>
          <w:lang w:val="ka-GE"/>
        </w:rPr>
        <w:t>ა</w:t>
      </w:r>
      <w:r w:rsidR="00402268" w:rsidRPr="00402268">
        <w:rPr>
          <w:rFonts w:ascii="Segoe UI" w:hAnsi="Segoe UI" w:cs="Segoe UI"/>
          <w:sz w:val="20"/>
          <w:szCs w:val="20"/>
          <w:lang w:val="ka-GE"/>
        </w:rPr>
        <w:t xml:space="preserve">ს </w:t>
      </w:r>
      <w:r w:rsidR="00CC71E9">
        <w:rPr>
          <w:rFonts w:ascii="Segoe UI" w:hAnsi="Segoe UI" w:cs="Segoe UI"/>
          <w:sz w:val="20"/>
          <w:szCs w:val="20"/>
          <w:lang w:val="ka-GE"/>
        </w:rPr>
        <w:t>სა</w:t>
      </w:r>
      <w:r w:rsidR="00402268" w:rsidRPr="00402268">
        <w:rPr>
          <w:rFonts w:ascii="Segoe UI" w:hAnsi="Segoe UI" w:cs="Segoe UI"/>
          <w:sz w:val="20"/>
          <w:szCs w:val="20"/>
          <w:lang w:val="ka-GE"/>
        </w:rPr>
        <w:t>გარე</w:t>
      </w:r>
      <w:r w:rsidR="00CC71E9">
        <w:rPr>
          <w:rFonts w:ascii="Segoe UI" w:hAnsi="Segoe UI" w:cs="Segoe UI"/>
          <w:sz w:val="20"/>
          <w:szCs w:val="20"/>
          <w:lang w:val="ka-GE"/>
        </w:rPr>
        <w:t>ო</w:t>
      </w:r>
      <w:r w:rsidR="00402268" w:rsidRPr="00402268">
        <w:rPr>
          <w:rFonts w:ascii="Segoe UI" w:hAnsi="Segoe UI" w:cs="Segoe UI"/>
          <w:sz w:val="20"/>
          <w:szCs w:val="20"/>
          <w:lang w:val="ka-GE"/>
        </w:rPr>
        <w:t xml:space="preserve"> სტაბილურობას, რაც, სავარაუდოდ, გამოიწვევს ლარის გაუფასურებას და </w:t>
      </w:r>
      <w:r w:rsidR="00402268">
        <w:rPr>
          <w:rFonts w:ascii="Segoe UI" w:hAnsi="Segoe UI" w:cs="Segoe UI"/>
          <w:sz w:val="20"/>
          <w:szCs w:val="20"/>
          <w:lang w:val="ka-GE"/>
        </w:rPr>
        <w:t xml:space="preserve">დამატებით გაზრდის </w:t>
      </w:r>
      <w:r w:rsidR="00402268" w:rsidRPr="00402268">
        <w:rPr>
          <w:rFonts w:ascii="Segoe UI" w:hAnsi="Segoe UI" w:cs="Segoe UI"/>
          <w:sz w:val="20"/>
          <w:szCs w:val="20"/>
          <w:lang w:val="ka-GE"/>
        </w:rPr>
        <w:t>ინფლაციას.</w:t>
      </w:r>
      <w:r w:rsidR="00402268">
        <w:rPr>
          <w:rFonts w:ascii="Segoe UI" w:hAnsi="Segoe UI" w:cs="Segoe UI"/>
          <w:sz w:val="20"/>
          <w:szCs w:val="20"/>
          <w:lang w:val="ka-GE"/>
        </w:rPr>
        <w:t xml:space="preserve"> ამავე დროს, ხანგრძლივი პანდემიის რისკის მატერიალიზაციის პირობებში შესაძლებელია ადგილი </w:t>
      </w:r>
      <w:r w:rsidR="0015313A">
        <w:rPr>
          <w:rFonts w:ascii="Segoe UI" w:hAnsi="Segoe UI" w:cs="Segoe UI"/>
          <w:sz w:val="20"/>
          <w:szCs w:val="20"/>
          <w:lang w:val="ka-GE"/>
        </w:rPr>
        <w:t>ჰ</w:t>
      </w:r>
      <w:r w:rsidR="00402268">
        <w:rPr>
          <w:rFonts w:ascii="Segoe UI" w:hAnsi="Segoe UI" w:cs="Segoe UI"/>
          <w:sz w:val="20"/>
          <w:szCs w:val="20"/>
          <w:lang w:val="ka-GE"/>
        </w:rPr>
        <w:t xml:space="preserve">ქონდეს </w:t>
      </w:r>
      <w:r w:rsidR="00C83535" w:rsidRPr="00402268">
        <w:rPr>
          <w:rFonts w:ascii="Segoe UI" w:hAnsi="Segoe UI" w:cs="Segoe UI"/>
          <w:sz w:val="20"/>
          <w:szCs w:val="20"/>
          <w:lang w:val="ka-GE"/>
        </w:rPr>
        <w:t xml:space="preserve">პოლიტიკის </w:t>
      </w:r>
      <w:r w:rsidR="00402268" w:rsidRPr="00402268">
        <w:rPr>
          <w:rFonts w:ascii="Segoe UI" w:hAnsi="Segoe UI" w:cs="Segoe UI"/>
          <w:sz w:val="20"/>
          <w:szCs w:val="20"/>
          <w:lang w:val="ka-GE"/>
        </w:rPr>
        <w:t>არასაკმარის მხარდაჭერა</w:t>
      </w:r>
      <w:r w:rsidR="00402268">
        <w:rPr>
          <w:rFonts w:ascii="Segoe UI" w:hAnsi="Segoe UI" w:cs="Segoe UI"/>
          <w:sz w:val="20"/>
          <w:szCs w:val="20"/>
          <w:lang w:val="ka-GE"/>
        </w:rPr>
        <w:t>ს</w:t>
      </w:r>
      <w:r w:rsidR="00402268" w:rsidRPr="00402268">
        <w:rPr>
          <w:rFonts w:ascii="Segoe UI" w:hAnsi="Segoe UI" w:cs="Segoe UI"/>
          <w:sz w:val="20"/>
          <w:szCs w:val="20"/>
          <w:lang w:val="ka-GE"/>
        </w:rPr>
        <w:t xml:space="preserve">, </w:t>
      </w:r>
      <w:r w:rsidR="00402268">
        <w:rPr>
          <w:rFonts w:ascii="Segoe UI" w:hAnsi="Segoe UI" w:cs="Segoe UI"/>
          <w:sz w:val="20"/>
          <w:szCs w:val="20"/>
          <w:lang w:val="ka-GE"/>
        </w:rPr>
        <w:t>რაც გაზრდი</w:t>
      </w:r>
      <w:r w:rsidR="00402268" w:rsidRPr="00402268">
        <w:rPr>
          <w:rFonts w:ascii="Segoe UI" w:hAnsi="Segoe UI" w:cs="Segoe UI"/>
          <w:sz w:val="20"/>
          <w:szCs w:val="20"/>
          <w:lang w:val="ka-GE"/>
        </w:rPr>
        <w:t>ს სიღარიბე</w:t>
      </w:r>
      <w:r w:rsidR="00402268">
        <w:rPr>
          <w:rFonts w:ascii="Segoe UI" w:hAnsi="Segoe UI" w:cs="Segoe UI"/>
          <w:sz w:val="20"/>
          <w:szCs w:val="20"/>
          <w:lang w:val="ka-GE"/>
        </w:rPr>
        <w:t>ს</w:t>
      </w:r>
      <w:r w:rsidR="00402268" w:rsidRPr="00402268">
        <w:rPr>
          <w:rFonts w:ascii="Segoe UI" w:hAnsi="Segoe UI" w:cs="Segoe UI"/>
          <w:sz w:val="20"/>
          <w:szCs w:val="20"/>
          <w:lang w:val="ka-GE"/>
        </w:rPr>
        <w:t xml:space="preserve"> მოსახლეობას </w:t>
      </w:r>
      <w:r w:rsidR="00C83535">
        <w:rPr>
          <w:rFonts w:ascii="Segoe UI" w:hAnsi="Segoe UI" w:cs="Segoe UI"/>
          <w:sz w:val="20"/>
          <w:szCs w:val="20"/>
          <w:lang w:val="ka-GE"/>
        </w:rPr>
        <w:t xml:space="preserve">შედარებით </w:t>
      </w:r>
      <w:r w:rsidR="00C83535" w:rsidRPr="00402268">
        <w:rPr>
          <w:rFonts w:ascii="Segoe UI" w:hAnsi="Segoe UI" w:cs="Segoe UI"/>
          <w:sz w:val="20"/>
          <w:szCs w:val="20"/>
          <w:lang w:val="ka-GE"/>
        </w:rPr>
        <w:t xml:space="preserve">დაუცველ </w:t>
      </w:r>
      <w:r w:rsidR="00C83535">
        <w:rPr>
          <w:rFonts w:ascii="Segoe UI" w:hAnsi="Segoe UI" w:cs="Segoe UI"/>
          <w:sz w:val="20"/>
          <w:szCs w:val="20"/>
          <w:lang w:val="ka-GE"/>
        </w:rPr>
        <w:t>ნაწილში</w:t>
      </w:r>
      <w:r w:rsidR="00402268" w:rsidRPr="00402268">
        <w:rPr>
          <w:rFonts w:ascii="Segoe UI" w:hAnsi="Segoe UI" w:cs="Segoe UI"/>
          <w:sz w:val="20"/>
          <w:szCs w:val="20"/>
          <w:lang w:val="ka-GE"/>
        </w:rPr>
        <w:t xml:space="preserve">. ტურიზმის აღდგენის არარსებობა შეამცირებს </w:t>
      </w:r>
      <w:r w:rsidR="00C83535">
        <w:rPr>
          <w:rFonts w:ascii="Segoe UI" w:hAnsi="Segoe UI" w:cs="Segoe UI"/>
          <w:sz w:val="20"/>
          <w:szCs w:val="20"/>
          <w:lang w:val="ka-GE"/>
        </w:rPr>
        <w:t xml:space="preserve">ეკონომიკურ ზრდას </w:t>
      </w:r>
      <w:r w:rsidR="00402268" w:rsidRPr="00402268">
        <w:rPr>
          <w:rFonts w:ascii="Segoe UI" w:hAnsi="Segoe UI" w:cs="Segoe UI"/>
          <w:sz w:val="20"/>
          <w:szCs w:val="20"/>
          <w:lang w:val="ka-GE"/>
        </w:rPr>
        <w:t xml:space="preserve">საშუალოვადიან </w:t>
      </w:r>
      <w:r w:rsidR="00C83535">
        <w:rPr>
          <w:rFonts w:ascii="Segoe UI" w:hAnsi="Segoe UI" w:cs="Segoe UI"/>
          <w:sz w:val="20"/>
          <w:szCs w:val="20"/>
          <w:lang w:val="ka-GE"/>
        </w:rPr>
        <w:t>პერიოდში</w:t>
      </w:r>
      <w:r w:rsidR="00402268" w:rsidRPr="00402268">
        <w:rPr>
          <w:rFonts w:ascii="Segoe UI" w:hAnsi="Segoe UI" w:cs="Segoe UI"/>
          <w:sz w:val="20"/>
          <w:szCs w:val="20"/>
          <w:lang w:val="ka-GE"/>
        </w:rPr>
        <w:t>.</w:t>
      </w:r>
    </w:p>
    <w:p w:rsidR="00D920D4" w:rsidRDefault="00D920D4" w:rsidP="006A04A6">
      <w:pPr>
        <w:spacing w:line="276" w:lineRule="auto"/>
        <w:ind w:firstLine="540"/>
        <w:jc w:val="both"/>
        <w:rPr>
          <w:rFonts w:ascii="Sylfaen" w:hAnsi="Sylfaen" w:cs="Segoe UI"/>
          <w:sz w:val="20"/>
          <w:szCs w:val="20"/>
        </w:rPr>
      </w:pPr>
    </w:p>
    <w:p w:rsidR="000A4D4A" w:rsidRDefault="000A4D4A" w:rsidP="00190D83">
      <w:pPr>
        <w:pStyle w:val="Heading2"/>
      </w:pPr>
      <w:r w:rsidRPr="005D4934">
        <w:t>ტურიზმის გლობალური სენტიმენტების გაუარესება</w:t>
      </w:r>
    </w:p>
    <w:p w:rsidR="00862AF3" w:rsidRPr="00F90420" w:rsidRDefault="00862AF3" w:rsidP="00862AF3">
      <w:pPr>
        <w:spacing w:line="276" w:lineRule="auto"/>
        <w:ind w:firstLine="540"/>
        <w:jc w:val="both"/>
        <w:rPr>
          <w:rFonts w:ascii="Segoe UI" w:hAnsi="Segoe UI" w:cs="Segoe UI"/>
          <w:sz w:val="20"/>
          <w:szCs w:val="20"/>
        </w:rPr>
      </w:pPr>
      <w:r w:rsidRPr="00F90420">
        <w:rPr>
          <w:rFonts w:ascii="Segoe UI" w:hAnsi="Segoe UI" w:cs="Segoe UI"/>
          <w:sz w:val="20"/>
          <w:szCs w:val="20"/>
        </w:rPr>
        <w:t>მიუხედავად იმისა, რომ აპრილის თვიდან ტურიზმის სწრაფ გამოცოცხლებას აქვს ადგილი. ამ ეტაპისთვის ჯერ კიდევ ადრე</w:t>
      </w:r>
      <w:r w:rsidR="008D588C" w:rsidRPr="00F90420">
        <w:rPr>
          <w:rFonts w:ascii="Segoe UI" w:hAnsi="Segoe UI" w:cs="Segoe UI"/>
          <w:sz w:val="20"/>
          <w:szCs w:val="20"/>
        </w:rPr>
        <w:t>ა</w:t>
      </w:r>
      <w:r w:rsidRPr="00F90420">
        <w:rPr>
          <w:rFonts w:ascii="Segoe UI" w:hAnsi="Segoe UI" w:cs="Segoe UI"/>
          <w:sz w:val="20"/>
          <w:szCs w:val="20"/>
        </w:rPr>
        <w:t xml:space="preserve"> ტურიზმის საშუალოვადიანი აღდგენის პერსპექტივებზე მოლოდინების განახლება</w:t>
      </w:r>
      <w:r w:rsidR="00FA0023" w:rsidRPr="00F90420">
        <w:rPr>
          <w:rFonts w:ascii="Segoe UI" w:hAnsi="Segoe UI" w:cs="Segoe UI"/>
          <w:sz w:val="20"/>
          <w:szCs w:val="20"/>
        </w:rPr>
        <w:t xml:space="preserve">. მიუხედავად </w:t>
      </w:r>
      <w:r w:rsidR="00942F58">
        <w:rPr>
          <w:rFonts w:ascii="Segoe UI" w:hAnsi="Segoe UI" w:cs="Segoe UI"/>
          <w:sz w:val="20"/>
          <w:szCs w:val="20"/>
          <w:lang w:val="ka-GE"/>
        </w:rPr>
        <w:t xml:space="preserve">პირველ 9 თვეში </w:t>
      </w:r>
      <w:r w:rsidR="00FA0023" w:rsidRPr="00F90420">
        <w:rPr>
          <w:rFonts w:ascii="Segoe UI" w:hAnsi="Segoe UI" w:cs="Segoe UI"/>
          <w:sz w:val="20"/>
          <w:szCs w:val="20"/>
        </w:rPr>
        <w:t>2020 წელთან</w:t>
      </w:r>
      <w:r w:rsidR="00942F58">
        <w:rPr>
          <w:rFonts w:ascii="Segoe UI" w:hAnsi="Segoe UI" w:cs="Segoe UI"/>
          <w:sz w:val="20"/>
          <w:szCs w:val="20"/>
          <w:lang w:val="ka-GE"/>
        </w:rPr>
        <w:t xml:space="preserve"> შედარებით</w:t>
      </w:r>
      <w:r w:rsidR="00FA0023" w:rsidRPr="00F90420">
        <w:rPr>
          <w:rFonts w:ascii="Segoe UI" w:hAnsi="Segoe UI" w:cs="Segoe UI"/>
          <w:sz w:val="20"/>
          <w:szCs w:val="20"/>
        </w:rPr>
        <w:t xml:space="preserve"> საკმაოდ მაღალი ზრდისა</w:t>
      </w:r>
      <w:r w:rsidR="00297A70">
        <w:rPr>
          <w:rFonts w:ascii="Segoe UI" w:hAnsi="Segoe UI" w:cs="Segoe UI"/>
          <w:sz w:val="20"/>
          <w:szCs w:val="20"/>
        </w:rPr>
        <w:t xml:space="preserve"> (</w:t>
      </w:r>
      <w:r w:rsidR="00942F58">
        <w:rPr>
          <w:rFonts w:ascii="Segoe UI" w:hAnsi="Segoe UI" w:cs="Segoe UI"/>
          <w:sz w:val="20"/>
          <w:szCs w:val="20"/>
          <w:lang w:val="ka-GE"/>
        </w:rPr>
        <w:t>73.5</w:t>
      </w:r>
      <w:r w:rsidR="00297A70">
        <w:rPr>
          <w:rFonts w:ascii="Segoe UI" w:hAnsi="Segoe UI" w:cs="Segoe UI"/>
          <w:sz w:val="20"/>
          <w:szCs w:val="20"/>
        </w:rPr>
        <w:t xml:space="preserve"> პროცენტი)</w:t>
      </w:r>
      <w:r w:rsidR="00FA0023" w:rsidRPr="00F90420">
        <w:rPr>
          <w:rFonts w:ascii="Segoe UI" w:hAnsi="Segoe UI" w:cs="Segoe UI"/>
          <w:sz w:val="20"/>
          <w:szCs w:val="20"/>
        </w:rPr>
        <w:t>, 2019 წელთან შედარებით ტურიზმი კვლავ მნიშვნელოვნად ნაკლები</w:t>
      </w:r>
      <w:r w:rsidR="008D588C" w:rsidRPr="00F90420">
        <w:rPr>
          <w:rFonts w:ascii="Segoe UI" w:hAnsi="Segoe UI" w:cs="Segoe UI"/>
          <w:sz w:val="20"/>
          <w:szCs w:val="20"/>
        </w:rPr>
        <w:t xml:space="preserve"> </w:t>
      </w:r>
      <w:r w:rsidR="00FA0023" w:rsidRPr="00F90420">
        <w:rPr>
          <w:rFonts w:ascii="Segoe UI" w:hAnsi="Segoe UI" w:cs="Segoe UI"/>
          <w:sz w:val="20"/>
          <w:szCs w:val="20"/>
        </w:rPr>
        <w:t>რჩება</w:t>
      </w:r>
      <w:r w:rsidR="00297A70">
        <w:rPr>
          <w:rFonts w:ascii="Segoe UI" w:hAnsi="Segoe UI" w:cs="Segoe UI"/>
          <w:sz w:val="20"/>
          <w:szCs w:val="20"/>
          <w:lang w:val="ka-GE"/>
        </w:rPr>
        <w:t xml:space="preserve"> (-</w:t>
      </w:r>
      <w:r w:rsidR="00942F58">
        <w:rPr>
          <w:rFonts w:ascii="Segoe UI" w:hAnsi="Segoe UI" w:cs="Segoe UI"/>
          <w:sz w:val="20"/>
          <w:szCs w:val="20"/>
          <w:lang w:val="ka-GE"/>
        </w:rPr>
        <w:t>66.5</w:t>
      </w:r>
      <w:r w:rsidR="00297A70">
        <w:rPr>
          <w:rFonts w:ascii="Segoe UI" w:hAnsi="Segoe UI" w:cs="Segoe UI"/>
          <w:sz w:val="20"/>
          <w:szCs w:val="20"/>
          <w:lang w:val="ka-GE"/>
        </w:rPr>
        <w:t xml:space="preserve"> პროცენტი)</w:t>
      </w:r>
      <w:r w:rsidR="00FA0023" w:rsidRPr="00F90420">
        <w:rPr>
          <w:rFonts w:ascii="Segoe UI" w:hAnsi="Segoe UI" w:cs="Segoe UI"/>
          <w:sz w:val="20"/>
          <w:szCs w:val="20"/>
        </w:rPr>
        <w:t xml:space="preserve"> და ამ ეტაპისთვის შესაბამისია საბაზისო მოლოდინის. შესაბამისად, </w:t>
      </w:r>
      <w:r w:rsidR="008D588C" w:rsidRPr="00F90420">
        <w:rPr>
          <w:rFonts w:ascii="Segoe UI" w:hAnsi="Segoe UI" w:cs="Segoe UI"/>
          <w:sz w:val="20"/>
          <w:szCs w:val="20"/>
        </w:rPr>
        <w:t>კვ</w:t>
      </w:r>
      <w:r w:rsidR="00FA0023" w:rsidRPr="00F90420">
        <w:rPr>
          <w:rFonts w:ascii="Segoe UI" w:hAnsi="Segoe UI" w:cs="Segoe UI"/>
          <w:sz w:val="20"/>
          <w:szCs w:val="20"/>
        </w:rPr>
        <w:t>ლ</w:t>
      </w:r>
      <w:r w:rsidR="008D588C" w:rsidRPr="00F90420">
        <w:rPr>
          <w:rFonts w:ascii="Segoe UI" w:hAnsi="Segoe UI" w:cs="Segoe UI"/>
          <w:sz w:val="20"/>
          <w:szCs w:val="20"/>
        </w:rPr>
        <w:t>ა</w:t>
      </w:r>
      <w:r w:rsidR="00FA0023" w:rsidRPr="00F90420">
        <w:rPr>
          <w:rFonts w:ascii="Segoe UI" w:hAnsi="Segoe UI" w:cs="Segoe UI"/>
          <w:sz w:val="20"/>
          <w:szCs w:val="20"/>
        </w:rPr>
        <w:t>ვ აქტუალურია ტურიზმის მიმართულებით შემდეგი რისკ-ფაქტორები:</w:t>
      </w:r>
    </w:p>
    <w:p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ბუნებრივია, რომ გლობალურ ეკონომიკურ კლებას 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F90420" w:rsidRDefault="000A4D4A" w:rsidP="000A4D4A">
      <w:pPr>
        <w:pStyle w:val="ListParagraph"/>
        <w:numPr>
          <w:ilvl w:val="0"/>
          <w:numId w:val="17"/>
        </w:numPr>
        <w:spacing w:line="276" w:lineRule="auto"/>
        <w:jc w:val="both"/>
        <w:rPr>
          <w:rFonts w:ascii="Segoe UI" w:hAnsi="Segoe UI" w:cs="Segoe UI"/>
          <w:sz w:val="20"/>
          <w:szCs w:val="20"/>
        </w:rPr>
      </w:pPr>
      <w:r w:rsidRPr="00F90420">
        <w:rPr>
          <w:rFonts w:ascii="Segoe UI" w:hAnsi="Segoe UI" w:cs="Segoe UI"/>
          <w:sz w:val="20"/>
          <w:szCs w:val="20"/>
        </w:rPr>
        <w:t>არსებობს მოსაზრებები, რომ ტურისტული ტენდენციები გადაიხრება ტრადიციული ტურისტული 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6A04A6">
      <w:pPr>
        <w:spacing w:line="276" w:lineRule="auto"/>
        <w:ind w:firstLine="540"/>
        <w:jc w:val="both"/>
        <w:rPr>
          <w:rFonts w:ascii="Segoe UI" w:hAnsi="Segoe UI" w:cs="Segoe UI"/>
          <w:sz w:val="20"/>
          <w:szCs w:val="20"/>
        </w:rPr>
      </w:pPr>
    </w:p>
    <w:p w:rsidR="00BD7F05" w:rsidRDefault="000A4D4A" w:rsidP="00190D83">
      <w:pPr>
        <w:pStyle w:val="Heading2"/>
      </w:pPr>
      <w:r>
        <w:t xml:space="preserve"> </w:t>
      </w:r>
      <w:r w:rsidRPr="00B83CE9">
        <w:t xml:space="preserve">გლობალური </w:t>
      </w:r>
      <w:r w:rsidR="00477AF8">
        <w:t>სავაჭრო ბრუნვის შემცირება</w:t>
      </w:r>
    </w:p>
    <w:p w:rsidR="00477AF8" w:rsidRDefault="00283359" w:rsidP="00477AF8">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მიმდინარე კრიზისის ფონზე მნიშვნელოვანია </w:t>
      </w:r>
      <w:r w:rsidR="00477AF8">
        <w:rPr>
          <w:rFonts w:ascii="Segoe UI" w:hAnsi="Segoe UI" w:cs="Segoe UI"/>
          <w:sz w:val="20"/>
          <w:szCs w:val="20"/>
          <w:lang w:val="ka-GE"/>
        </w:rPr>
        <w:t>გლ</w:t>
      </w:r>
      <w:r w:rsidR="00FA0023">
        <w:rPr>
          <w:rFonts w:ascii="Segoe UI" w:hAnsi="Segoe UI" w:cs="Segoe UI"/>
          <w:sz w:val="20"/>
          <w:szCs w:val="20"/>
          <w:lang w:val="ka-GE"/>
        </w:rPr>
        <w:t>ო</w:t>
      </w:r>
      <w:r w:rsidR="00477AF8">
        <w:rPr>
          <w:rFonts w:ascii="Segoe UI" w:hAnsi="Segoe UI" w:cs="Segoe UI"/>
          <w:sz w:val="20"/>
          <w:szCs w:val="20"/>
          <w:lang w:val="ka-GE"/>
        </w:rPr>
        <w:t>ბალური გეოპლიტიკური რისკების გაანალიზება. გლობალური ეკონომიკის აღდგენის პროცესები მნიშვნელვონად შეფერხდება პროტექციონისტული სავაჭრო პოლიტიკის პირობებში. შესაბამისად, საშუალოვადიან პერიოდში სავაჭრო პირობების შესაძლო გაუარესება გადაავადებს ეკონომიკის აღდგენის პერსპექტივებს.</w:t>
      </w:r>
    </w:p>
    <w:p w:rsidR="00AF299A" w:rsidRDefault="00AF299A" w:rsidP="00CC71E9">
      <w:pPr>
        <w:spacing w:line="276" w:lineRule="auto"/>
        <w:ind w:firstLine="540"/>
        <w:jc w:val="both"/>
        <w:rPr>
          <w:rFonts w:ascii="Segoe UI" w:hAnsi="Segoe UI" w:cs="Segoe UI"/>
          <w:sz w:val="20"/>
          <w:szCs w:val="20"/>
          <w:lang w:val="ka-GE"/>
        </w:rPr>
      </w:pPr>
      <w:r>
        <w:rPr>
          <w:rFonts w:ascii="Segoe UI" w:hAnsi="Segoe UI" w:cs="Segoe UI"/>
          <w:sz w:val="20"/>
          <w:szCs w:val="20"/>
          <w:lang w:val="ka-GE"/>
        </w:rPr>
        <w:t xml:space="preserve">რისკის ერთ-ერთ წყაროს წარმოადგენს </w:t>
      </w:r>
      <w:r w:rsidR="00CC71E9">
        <w:rPr>
          <w:rFonts w:ascii="Segoe UI" w:hAnsi="Segoe UI" w:cs="Segoe UI"/>
          <w:sz w:val="20"/>
          <w:szCs w:val="20"/>
          <w:lang w:val="ka-GE"/>
        </w:rPr>
        <w:t>მსოფლიოს გეოპოლიტიკურ ინტერესთა ცენტრების რეალოკაცია, რამაც შესაძლოა უარყოფითად იმოქმედოს არსებული პოლიტიკური და ეკონომიკური კავშირების სიძლიერეზე.</w:t>
      </w:r>
      <w:r w:rsidRPr="00AF299A">
        <w:rPr>
          <w:rFonts w:ascii="Segoe UI" w:hAnsi="Segoe UI" w:cs="Segoe UI"/>
          <w:sz w:val="20"/>
          <w:szCs w:val="20"/>
          <w:lang w:val="ka-GE"/>
        </w:rPr>
        <w:t xml:space="preserve"> მიუხედავად </w:t>
      </w:r>
      <w:r>
        <w:rPr>
          <w:rFonts w:ascii="Segoe UI" w:hAnsi="Segoe UI" w:cs="Segoe UI"/>
          <w:sz w:val="20"/>
          <w:szCs w:val="20"/>
          <w:lang w:val="ka-GE"/>
        </w:rPr>
        <w:t xml:space="preserve">განახლებული მცდელობებისა </w:t>
      </w:r>
      <w:r w:rsidRPr="00AF299A">
        <w:rPr>
          <w:rFonts w:ascii="Segoe UI" w:hAnsi="Segoe UI" w:cs="Segoe UI"/>
          <w:sz w:val="20"/>
          <w:szCs w:val="20"/>
          <w:lang w:val="ka-GE"/>
        </w:rPr>
        <w:t>არსებული</w:t>
      </w:r>
      <w:r>
        <w:rPr>
          <w:rFonts w:ascii="Segoe UI" w:hAnsi="Segoe UI" w:cs="Segoe UI"/>
          <w:sz w:val="20"/>
          <w:szCs w:val="20"/>
          <w:lang w:val="ka-GE"/>
        </w:rPr>
        <w:t xml:space="preserve"> </w:t>
      </w:r>
      <w:r w:rsidRPr="00AF299A">
        <w:rPr>
          <w:rFonts w:ascii="Segoe UI" w:hAnsi="Segoe UI" w:cs="Segoe UI"/>
          <w:sz w:val="20"/>
          <w:szCs w:val="20"/>
          <w:lang w:val="ka-GE"/>
        </w:rPr>
        <w:t>დაძაბულობის მრავალმხრივი გადაწყვეტილებების მიღწევისა, გეოპოლიტიკური კონკურენცია განაპირობებს შემდგომ დანაწევრებას. ნაკლები ვაჭრობა ამცირებს პოტენციურ ზრდას.</w:t>
      </w:r>
      <w:r>
        <w:rPr>
          <w:rFonts w:ascii="Segoe UI" w:hAnsi="Segoe UI" w:cs="Segoe UI"/>
          <w:sz w:val="20"/>
          <w:szCs w:val="20"/>
          <w:lang w:val="ka-GE"/>
        </w:rPr>
        <w:t xml:space="preserve"> </w:t>
      </w:r>
      <w:r w:rsidRPr="00AF299A">
        <w:rPr>
          <w:rFonts w:ascii="Segoe UI" w:hAnsi="Segoe UI" w:cs="Segoe UI"/>
          <w:sz w:val="20"/>
          <w:szCs w:val="20"/>
          <w:lang w:val="ka-GE"/>
        </w:rPr>
        <w:t>დეგლობალიზაციის დაჩქარება</w:t>
      </w:r>
      <w:r w:rsidR="00CC71E9">
        <w:rPr>
          <w:rFonts w:ascii="Segoe UI" w:hAnsi="Segoe UI" w:cs="Segoe UI"/>
          <w:sz w:val="20"/>
          <w:szCs w:val="20"/>
          <w:lang w:val="ka-GE"/>
        </w:rPr>
        <w:t>მ მეორეს მხრივ შეაძლოა</w:t>
      </w:r>
      <w:r w:rsidR="00AD1777">
        <w:rPr>
          <w:rFonts w:ascii="Segoe UI" w:hAnsi="Segoe UI" w:cs="Segoe UI"/>
          <w:sz w:val="20"/>
          <w:szCs w:val="20"/>
          <w:lang w:val="ka-GE"/>
        </w:rPr>
        <w:t xml:space="preserve"> უარყ</w:t>
      </w:r>
      <w:r w:rsidR="00C201A7">
        <w:rPr>
          <w:rFonts w:ascii="Segoe UI" w:hAnsi="Segoe UI" w:cs="Segoe UI"/>
          <w:sz w:val="20"/>
          <w:szCs w:val="20"/>
          <w:lang w:val="ka-GE"/>
        </w:rPr>
        <w:t>ოფი</w:t>
      </w:r>
      <w:r w:rsidR="00AD1777">
        <w:rPr>
          <w:rFonts w:ascii="Segoe UI" w:hAnsi="Segoe UI" w:cs="Segoe UI"/>
          <w:sz w:val="20"/>
          <w:szCs w:val="20"/>
          <w:lang w:val="ka-GE"/>
        </w:rPr>
        <w:t>თად იმოქმედოს</w:t>
      </w:r>
      <w:r w:rsidRPr="00AF299A">
        <w:rPr>
          <w:rFonts w:ascii="Segoe UI" w:hAnsi="Segoe UI" w:cs="Segoe UI"/>
          <w:sz w:val="20"/>
          <w:szCs w:val="20"/>
          <w:lang w:val="ka-GE"/>
        </w:rPr>
        <w:t xml:space="preserve"> საქართველოს </w:t>
      </w:r>
      <w:r>
        <w:rPr>
          <w:rFonts w:ascii="Segoe UI" w:hAnsi="Segoe UI" w:cs="Segoe UI"/>
          <w:sz w:val="20"/>
          <w:szCs w:val="20"/>
          <w:lang w:val="ka-GE"/>
        </w:rPr>
        <w:t>პოტენციალ</w:t>
      </w:r>
      <w:r w:rsidR="00AD1777">
        <w:rPr>
          <w:rFonts w:ascii="Segoe UI" w:hAnsi="Segoe UI" w:cs="Segoe UI"/>
          <w:sz w:val="20"/>
          <w:szCs w:val="20"/>
          <w:lang w:val="ka-GE"/>
        </w:rPr>
        <w:t>ზე</w:t>
      </w:r>
      <w:r>
        <w:rPr>
          <w:rFonts w:ascii="Segoe UI" w:hAnsi="Segoe UI" w:cs="Segoe UI"/>
          <w:sz w:val="20"/>
          <w:szCs w:val="20"/>
          <w:lang w:val="ka-GE"/>
        </w:rPr>
        <w:t xml:space="preserve">, </w:t>
      </w:r>
      <w:r w:rsidRPr="00AF299A">
        <w:rPr>
          <w:rFonts w:ascii="Segoe UI" w:hAnsi="Segoe UI" w:cs="Segoe UI"/>
          <w:sz w:val="20"/>
          <w:szCs w:val="20"/>
          <w:lang w:val="ka-GE"/>
        </w:rPr>
        <w:t xml:space="preserve">გახდეს ლოგისტიკური </w:t>
      </w:r>
      <w:r>
        <w:rPr>
          <w:rFonts w:ascii="Segoe UI" w:hAnsi="Segoe UI" w:cs="Segoe UI"/>
          <w:sz w:val="20"/>
          <w:szCs w:val="20"/>
          <w:lang w:val="ka-GE"/>
        </w:rPr>
        <w:t>ცენტრი</w:t>
      </w:r>
      <w:r w:rsidRPr="00AF299A">
        <w:rPr>
          <w:rFonts w:ascii="Segoe UI" w:hAnsi="Segoe UI" w:cs="Segoe UI"/>
          <w:sz w:val="20"/>
          <w:szCs w:val="20"/>
          <w:lang w:val="ka-GE"/>
        </w:rPr>
        <w:t xml:space="preserve">. ქვეყანას დასჭირდება მომავალი ზრდის ახალი წყაროს პოვნა, რომელიც ნაკლებად იქნება დამოკიდებული </w:t>
      </w:r>
      <w:r>
        <w:rPr>
          <w:rFonts w:ascii="Segoe UI" w:hAnsi="Segoe UI" w:cs="Segoe UI"/>
          <w:sz w:val="20"/>
          <w:szCs w:val="20"/>
          <w:lang w:val="ka-GE"/>
        </w:rPr>
        <w:t>საგარეო</w:t>
      </w:r>
      <w:r w:rsidRPr="00AF299A">
        <w:rPr>
          <w:rFonts w:ascii="Segoe UI" w:hAnsi="Segoe UI" w:cs="Segoe UI"/>
          <w:sz w:val="20"/>
          <w:szCs w:val="20"/>
          <w:lang w:val="ka-GE"/>
        </w:rPr>
        <w:t xml:space="preserve"> </w:t>
      </w:r>
      <w:r>
        <w:rPr>
          <w:rFonts w:ascii="Segoe UI" w:hAnsi="Segoe UI" w:cs="Segoe UI"/>
          <w:sz w:val="20"/>
          <w:szCs w:val="20"/>
          <w:lang w:val="ka-GE"/>
        </w:rPr>
        <w:t>მდგომარეობაზე.</w:t>
      </w:r>
    </w:p>
    <w:p w:rsidR="00C33EA6" w:rsidRPr="00477AF8" w:rsidRDefault="00C33EA6" w:rsidP="00477AF8">
      <w:pPr>
        <w:spacing w:line="276" w:lineRule="auto"/>
        <w:ind w:firstLine="540"/>
        <w:jc w:val="both"/>
        <w:rPr>
          <w:rFonts w:ascii="Segoe UI" w:hAnsi="Segoe UI" w:cs="Segoe UI"/>
          <w:b/>
          <w:sz w:val="20"/>
          <w:szCs w:val="20"/>
          <w:lang w:val="ka-GE"/>
        </w:rPr>
      </w:pPr>
    </w:p>
    <w:p w:rsidR="000A4D4A" w:rsidRPr="005D4934" w:rsidRDefault="000A4D4A" w:rsidP="00190D83">
      <w:pPr>
        <w:pStyle w:val="Heading2"/>
      </w:pPr>
      <w:r>
        <w:t xml:space="preserve"> </w:t>
      </w:r>
      <w:r w:rsidRPr="00B83CE9">
        <w:t>რეგიონული რისკები</w:t>
      </w:r>
    </w:p>
    <w:p w:rsidR="000A4D4A" w:rsidRPr="00E72A49" w:rsidRDefault="000A4D4A" w:rsidP="006A04A6">
      <w:pPr>
        <w:spacing w:line="276" w:lineRule="auto"/>
        <w:ind w:firstLine="540"/>
        <w:jc w:val="both"/>
        <w:rPr>
          <w:rFonts w:ascii="Segoe UI" w:hAnsi="Segoe UI" w:cs="Segoe UI"/>
          <w:sz w:val="20"/>
          <w:szCs w:val="20"/>
          <w:lang w:val="ka-GE"/>
        </w:rPr>
      </w:pPr>
      <w:r w:rsidRPr="00E72A49">
        <w:rPr>
          <w:rFonts w:ascii="Segoe UI" w:hAnsi="Segoe UI" w:cs="Segoe UI"/>
          <w:sz w:val="20"/>
          <w:szCs w:val="20"/>
          <w:lang w:val="ka-GE"/>
        </w:rPr>
        <w:t>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პანდემიის შემდეგ მათი რეალიზაციის ალბათობა იზრდება.</w:t>
      </w:r>
    </w:p>
    <w:p w:rsidR="000A4D4A" w:rsidRPr="00B83CE9" w:rsidRDefault="000A4D4A" w:rsidP="00945B6B">
      <w:pPr>
        <w:spacing w:line="276" w:lineRule="auto"/>
        <w:ind w:firstLine="540"/>
        <w:jc w:val="both"/>
        <w:rPr>
          <w:rFonts w:ascii="Segoe UI" w:hAnsi="Segoe UI" w:cs="Segoe UI"/>
          <w:sz w:val="20"/>
          <w:szCs w:val="20"/>
        </w:rPr>
      </w:pPr>
      <w:r w:rsidRPr="00E72A49">
        <w:rPr>
          <w:rFonts w:ascii="Segoe UI" w:hAnsi="Segoe UI" w:cs="Segoe UI"/>
          <w:sz w:val="20"/>
          <w:szCs w:val="20"/>
          <w:lang w:val="ka-GE"/>
        </w:rPr>
        <w:t>ჩვენი რეგიონიდან მომდინარე ეკონომიკური რისკები</w:t>
      </w:r>
      <w:r w:rsidR="00945B6B">
        <w:rPr>
          <w:rFonts w:ascii="Segoe UI" w:hAnsi="Segoe UI" w:cs="Segoe UI"/>
          <w:sz w:val="20"/>
          <w:szCs w:val="20"/>
          <w:lang w:val="ka-GE"/>
        </w:rPr>
        <w:t xml:space="preserve"> ძირითადად შემდეგი </w:t>
      </w:r>
      <w:r w:rsidR="00C33EA6">
        <w:rPr>
          <w:rFonts w:ascii="Segoe UI" w:hAnsi="Segoe UI" w:cs="Segoe UI"/>
          <w:sz w:val="20"/>
          <w:szCs w:val="20"/>
          <w:lang w:val="ka-GE"/>
        </w:rPr>
        <w:t>გარემოე</w:t>
      </w:r>
      <w:r w:rsidR="00945B6B">
        <w:rPr>
          <w:rFonts w:ascii="Segoe UI" w:hAnsi="Segoe UI" w:cs="Segoe UI"/>
          <w:sz w:val="20"/>
          <w:szCs w:val="20"/>
          <w:lang w:val="ka-GE"/>
        </w:rPr>
        <w:t>ბებით არის განპირობებული</w:t>
      </w:r>
      <w:r w:rsidRPr="00B83CE9">
        <w:rPr>
          <w:rFonts w:ascii="Segoe UI" w:hAnsi="Segoe UI" w:cs="Segoe UI"/>
          <w:sz w:val="20"/>
          <w:szCs w:val="20"/>
        </w:rPr>
        <w:t>:</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ეკონომიკების დივერსიფიკაციის დაბალი დონე;</w:t>
      </w:r>
    </w:p>
    <w:p w:rsidR="000A4D4A" w:rsidRPr="0030481B" w:rsidRDefault="000A4D4A" w:rsidP="000A4D4A">
      <w:pPr>
        <w:pStyle w:val="ListParagraph"/>
        <w:numPr>
          <w:ilvl w:val="0"/>
          <w:numId w:val="18"/>
        </w:numPr>
        <w:spacing w:line="276" w:lineRule="auto"/>
        <w:jc w:val="both"/>
        <w:rPr>
          <w:rFonts w:ascii="Segoe UI" w:hAnsi="Segoe UI" w:cs="Segoe UI"/>
          <w:sz w:val="20"/>
          <w:szCs w:val="20"/>
        </w:rPr>
      </w:pPr>
      <w:r w:rsidRPr="0030481B">
        <w:rPr>
          <w:rFonts w:ascii="Segoe UI" w:hAnsi="Segoe UI" w:cs="Segoe UI"/>
          <w:sz w:val="20"/>
          <w:szCs w:val="20"/>
        </w:rPr>
        <w:t>შიდა პოლიტიკური პრობლემები და არამდგრადობა;</w:t>
      </w:r>
    </w:p>
    <w:p w:rsidR="000A4D4A" w:rsidRPr="00945B6B" w:rsidRDefault="00AD1777" w:rsidP="00954905">
      <w:pPr>
        <w:pStyle w:val="ListParagraph"/>
        <w:numPr>
          <w:ilvl w:val="0"/>
          <w:numId w:val="18"/>
        </w:numPr>
        <w:spacing w:line="276" w:lineRule="auto"/>
        <w:jc w:val="both"/>
      </w:pPr>
      <w:r>
        <w:rPr>
          <w:rFonts w:ascii="Segoe UI" w:hAnsi="Segoe UI" w:cs="Segoe UI"/>
          <w:sz w:val="20"/>
          <w:szCs w:val="20"/>
          <w:lang w:val="ka-GE"/>
        </w:rPr>
        <w:t xml:space="preserve">დასავლური ქვეყნების მხრიდან მნიშვნელოვანი სავაჭერო პარტნიორებისათვის </w:t>
      </w:r>
      <w:r w:rsidR="000A4D4A" w:rsidRPr="0030481B">
        <w:rPr>
          <w:rFonts w:ascii="Segoe UI" w:hAnsi="Segoe UI" w:cs="Segoe UI"/>
          <w:sz w:val="20"/>
          <w:szCs w:val="20"/>
        </w:rPr>
        <w:t>სანქციების დაწესების საშიშროება;</w:t>
      </w:r>
    </w:p>
    <w:p w:rsidR="00945B6B" w:rsidRPr="00C201A7" w:rsidRDefault="00945B6B" w:rsidP="00954905">
      <w:pPr>
        <w:pStyle w:val="ListParagraph"/>
        <w:numPr>
          <w:ilvl w:val="0"/>
          <w:numId w:val="18"/>
        </w:numPr>
        <w:spacing w:line="276" w:lineRule="auto"/>
        <w:jc w:val="both"/>
      </w:pPr>
      <w:r>
        <w:rPr>
          <w:rFonts w:ascii="Segoe UI" w:hAnsi="Segoe UI" w:cs="Segoe UI"/>
          <w:sz w:val="20"/>
          <w:szCs w:val="20"/>
          <w:lang w:val="ka-GE"/>
        </w:rPr>
        <w:t>გაყინული კონფლიქტები.</w:t>
      </w:r>
    </w:p>
    <w:p w:rsidR="00AD1777" w:rsidRPr="00C201A7" w:rsidRDefault="00AD1777" w:rsidP="00954905">
      <w:pPr>
        <w:pStyle w:val="ListParagraph"/>
        <w:numPr>
          <w:ilvl w:val="0"/>
          <w:numId w:val="18"/>
        </w:numPr>
        <w:spacing w:line="276" w:lineRule="auto"/>
        <w:jc w:val="both"/>
        <w:rPr>
          <w:rFonts w:ascii="Segoe UI" w:hAnsi="Segoe UI" w:cs="Segoe UI"/>
          <w:sz w:val="20"/>
          <w:szCs w:val="20"/>
          <w:lang w:val="ka-GE"/>
        </w:rPr>
      </w:pPr>
      <w:r w:rsidRPr="00C201A7">
        <w:rPr>
          <w:rFonts w:ascii="Segoe UI" w:hAnsi="Segoe UI" w:cs="Segoe UI"/>
          <w:sz w:val="20"/>
          <w:szCs w:val="20"/>
          <w:lang w:val="ka-GE"/>
        </w:rPr>
        <w:t>პოლიტიკური არასტაბილურობა ახლო აღმოსავლეთში</w:t>
      </w:r>
      <w:r>
        <w:rPr>
          <w:rFonts w:ascii="Segoe UI" w:hAnsi="Segoe UI" w:cs="Segoe UI"/>
          <w:sz w:val="20"/>
          <w:szCs w:val="20"/>
          <w:lang w:val="ka-GE"/>
        </w:rPr>
        <w:t>.</w:t>
      </w:r>
    </w:p>
    <w:p w:rsidR="000A4D4A" w:rsidRPr="00AF299A" w:rsidRDefault="000A4D4A" w:rsidP="006A04A6">
      <w:pPr>
        <w:ind w:firstLine="540"/>
        <w:jc w:val="both"/>
        <w:rPr>
          <w:rFonts w:ascii="Segoe UI" w:hAnsi="Segoe UI" w:cs="Segoe UI"/>
          <w:sz w:val="20"/>
          <w:szCs w:val="20"/>
          <w:lang w:val="ka-GE"/>
        </w:rPr>
      </w:pPr>
      <w:r w:rsidRPr="00E72A49">
        <w:rPr>
          <w:rFonts w:ascii="Segoe UI" w:hAnsi="Segoe UI" w:cs="Segoe UI"/>
          <w:sz w:val="20"/>
          <w:szCs w:val="20"/>
          <w:lang w:val="ka-GE"/>
        </w:rPr>
        <w:t>რეგიონიდან მომავალი რისკები კვლავაც იქნება ჩვენი ეკონომიკის მთავარი პრობლემა და ეკონომიკის მოწყვლადობის კონტროლი ძალიან მნიშვნელოვანია ეკონომიკური სირთულეების შესამცირებლად.</w:t>
      </w:r>
      <w:r w:rsidR="00AF299A">
        <w:rPr>
          <w:rFonts w:ascii="Segoe UI" w:hAnsi="Segoe UI" w:cs="Segoe UI"/>
          <w:sz w:val="20"/>
          <w:szCs w:val="20"/>
          <w:lang w:val="ka-GE"/>
        </w:rPr>
        <w:t xml:space="preserve"> აღნიშნული ტიპის რისკების რეალიზაცია აუარესებს ინვესტორების </w:t>
      </w:r>
      <w:r w:rsidR="00AD1777">
        <w:rPr>
          <w:rFonts w:ascii="Segoe UI" w:hAnsi="Segoe UI" w:cs="Segoe UI"/>
          <w:sz w:val="20"/>
          <w:szCs w:val="20"/>
          <w:lang w:val="ka-GE"/>
        </w:rPr>
        <w:t>განწყობას რეგიონის მიმართ</w:t>
      </w:r>
      <w:r w:rsidR="00AF299A">
        <w:rPr>
          <w:rFonts w:ascii="Segoe UI" w:hAnsi="Segoe UI" w:cs="Segoe UI"/>
          <w:sz w:val="20"/>
          <w:szCs w:val="20"/>
          <w:lang w:val="ka-GE"/>
        </w:rPr>
        <w:t>, რაც გამოვლინდება ეკონომიკური ზრდის შენელებაში.</w:t>
      </w:r>
    </w:p>
    <w:p w:rsidR="00194344" w:rsidRPr="00B207A3" w:rsidRDefault="00194344" w:rsidP="00194344">
      <w:pPr>
        <w:spacing w:line="276" w:lineRule="auto"/>
        <w:jc w:val="both"/>
        <w:rPr>
          <w:rFonts w:ascii="Segoe UI" w:hAnsi="Segoe UI" w:cs="Segoe UI"/>
          <w:sz w:val="20"/>
          <w:szCs w:val="20"/>
          <w:lang w:val="ka-GE"/>
        </w:rPr>
      </w:pPr>
    </w:p>
    <w:p w:rsidR="00194344" w:rsidRPr="003A6407" w:rsidRDefault="00194344" w:rsidP="00190D83">
      <w:pPr>
        <w:pStyle w:val="Heading2"/>
      </w:pPr>
      <w:r>
        <w:t xml:space="preserve"> </w:t>
      </w:r>
      <w:r w:rsidRPr="003A6407">
        <w:t>გაზრდილი გლობალური ვალი</w:t>
      </w:r>
    </w:p>
    <w:p w:rsidR="00194344" w:rsidRPr="00342699" w:rsidRDefault="00194344" w:rsidP="00194344">
      <w:pPr>
        <w:spacing w:line="276" w:lineRule="auto"/>
        <w:jc w:val="both"/>
        <w:rPr>
          <w:rFonts w:ascii="Segoe UI" w:hAnsi="Segoe UI" w:cs="Segoe UI"/>
          <w:sz w:val="20"/>
          <w:szCs w:val="20"/>
        </w:rPr>
      </w:pPr>
      <w:r>
        <w:rPr>
          <w:rFonts w:ascii="Segoe UI" w:hAnsi="Segoe UI" w:cs="Segoe UI"/>
          <w:sz w:val="20"/>
          <w:szCs w:val="20"/>
          <w:lang w:val="ka-GE"/>
        </w:rPr>
        <w:t xml:space="preserve">     </w:t>
      </w:r>
      <w:r w:rsidR="00402268">
        <w:rPr>
          <w:rFonts w:ascii="Segoe UI" w:hAnsi="Segoe UI" w:cs="Segoe UI"/>
          <w:sz w:val="20"/>
          <w:szCs w:val="20"/>
          <w:lang w:val="ka-GE"/>
        </w:rPr>
        <w:t xml:space="preserve">     </w:t>
      </w:r>
      <w:r w:rsidRPr="00342699">
        <w:rPr>
          <w:rFonts w:ascii="Segoe UI" w:hAnsi="Segoe UI" w:cs="Segoe UI"/>
          <w:sz w:val="20"/>
          <w:szCs w:val="20"/>
        </w:rPr>
        <w:t xml:space="preserve">ეკონომიკურ კრიზისს, რომელიც ახალმა პანდემიამ გამოიწვია, მნიშვნელოვანი გავლენა მოახდინა დანაზოგებზე. მსოფლიოს პრაქტიკულად ყველა ქვეყანას მოუწია ვალის ზრდა და ბუფერების შემცირება. </w:t>
      </w:r>
    </w:p>
    <w:p w:rsidR="00194344" w:rsidRPr="00342699"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კვლევების მიხედვით, განვითარებადი საბაზრო ეკონომიკების ერთ მესამედს შეზღუდული, ან საერთოდ არ აქვს ფისკალური სივრცე განგრძობადი კრიზისის გასამკლავებლად, რაც მნიშვნელოვანდ ამცირებს მომდევნო წლებში გლობალური მოთხოვნის აღდგენის პერსპექტივებს.</w:t>
      </w:r>
    </w:p>
    <w:p w:rsidR="00194344" w:rsidRDefault="00194344" w:rsidP="00C05DF7">
      <w:pPr>
        <w:spacing w:line="276" w:lineRule="auto"/>
        <w:ind w:firstLine="540"/>
        <w:jc w:val="both"/>
        <w:rPr>
          <w:rFonts w:ascii="Segoe UI" w:hAnsi="Segoe UI" w:cs="Segoe UI"/>
          <w:sz w:val="20"/>
          <w:szCs w:val="20"/>
        </w:rPr>
      </w:pPr>
      <w:r w:rsidRPr="00342699">
        <w:rPr>
          <w:rFonts w:ascii="Segoe UI" w:hAnsi="Segoe UI" w:cs="Segoe UI"/>
          <w:sz w:val="20"/>
          <w:szCs w:val="20"/>
        </w:rPr>
        <w:t>შესაბამისად, მომდევნო წლების განმავლობაში მოსალოდნელია, რომ მთელმა მსოფლიომ ფისკალური კონსოლიდაციის გზას მიმართოს ბუფერებისა და ფისკალური სივრცის აღდგენისათვის. კონსოლიდაცია კი დამატებითი მუხრუჭს წარმოქმნის ეკონომიკური ზრდისათვის, რაც საკმაოდ დიდი შემაფერხებელი ფაქტორია</w:t>
      </w:r>
      <w:r w:rsidRPr="00342699">
        <w:rPr>
          <w:sz w:val="20"/>
          <w:szCs w:val="20"/>
        </w:rPr>
        <w:t xml:space="preserve"> </w:t>
      </w:r>
      <w:r w:rsidRPr="00342699">
        <w:rPr>
          <w:rFonts w:ascii="Segoe UI" w:hAnsi="Segoe UI" w:cs="Segoe UI"/>
          <w:sz w:val="20"/>
          <w:szCs w:val="20"/>
        </w:rPr>
        <w:t>მსოფლიო ეკონომიკის პანდემიამდელი მდგომარეობის დროის მოკლე პერიოდში აღდგენისათვის.</w:t>
      </w:r>
    </w:p>
    <w:p w:rsidR="00945B6B" w:rsidRPr="00342699" w:rsidRDefault="00945B6B" w:rsidP="00C05DF7">
      <w:pPr>
        <w:spacing w:line="276" w:lineRule="auto"/>
        <w:ind w:firstLine="540"/>
        <w:jc w:val="both"/>
        <w:rPr>
          <w:rFonts w:ascii="Segoe UI" w:hAnsi="Segoe UI" w:cs="Segoe UI"/>
          <w:sz w:val="20"/>
          <w:szCs w:val="20"/>
        </w:rPr>
      </w:pPr>
    </w:p>
    <w:p w:rsidR="00194344" w:rsidRPr="00D1769C" w:rsidRDefault="00194344" w:rsidP="00190D83">
      <w:pPr>
        <w:pStyle w:val="Heading2"/>
      </w:pPr>
      <w:r w:rsidRPr="00D1769C">
        <w:t>გლობალური მომხმარებელთა ქცევა</w:t>
      </w:r>
    </w:p>
    <w:p w:rsidR="000A4D4A" w:rsidRDefault="00194344" w:rsidP="00385E6A">
      <w:pPr>
        <w:tabs>
          <w:tab w:val="left" w:pos="900"/>
        </w:tabs>
        <w:ind w:firstLine="540"/>
        <w:jc w:val="both"/>
        <w:rPr>
          <w:rFonts w:ascii="Segoe UI" w:hAnsi="Segoe UI" w:cs="Segoe UI"/>
          <w:sz w:val="20"/>
          <w:szCs w:val="20"/>
        </w:rPr>
      </w:pPr>
      <w:r w:rsidRPr="00D1769C">
        <w:rPr>
          <w:rFonts w:ascii="Segoe UI" w:hAnsi="Segoe UI" w:cs="Segoe UI"/>
          <w:sz w:val="20"/>
          <w:szCs w:val="20"/>
        </w:rPr>
        <w:t>პანდემიის შედეგად შემცირებულმა ეკონომიკურმა აქტივობებმა მნიშვნელოვანი გავლენა მოახდინა შინამეურნეობების შემოსავლებსა და დანაზოგებზე, შესაბამისად პოსტპანდემიურ საშუალოვადიან პერიოდში მოსალოდნელია, რომ</w:t>
      </w:r>
      <w:r>
        <w:rPr>
          <w:rFonts w:ascii="Segoe UI" w:hAnsi="Segoe UI" w:cs="Segoe UI"/>
          <w:sz w:val="20"/>
          <w:szCs w:val="20"/>
        </w:rPr>
        <w:t xml:space="preserve"> </w:t>
      </w:r>
      <w:r w:rsidRPr="00D1769C">
        <w:rPr>
          <w:rFonts w:ascii="Segoe UI" w:hAnsi="Segoe UI" w:cs="Segoe UI"/>
          <w:sz w:val="20"/>
          <w:szCs w:val="20"/>
        </w:rPr>
        <w:t>შინამეურნეობებმა აქცენტი დანაზოგების სასურველი დონის აღდგენაზე გააკეთონ, რაც შეზღუდავს მოხმარებაზე გაწეულ დანახარჯებს. მოცემული სცენარის განვითარების შემთხვევაში, ადგილი ექნება მომხმარებელთა ქცევის ცვლილებას, რომლის პირობებში შემცირდება მომხმარებელთა სენტიმენტი და მათ მიერ გაწეული სამომხმარებლო ხარჯები.</w:t>
      </w:r>
      <w:r>
        <w:rPr>
          <w:rFonts w:ascii="Segoe UI" w:hAnsi="Segoe UI" w:cs="Segoe UI"/>
          <w:sz w:val="20"/>
          <w:szCs w:val="20"/>
        </w:rPr>
        <w:t xml:space="preserve"> </w:t>
      </w:r>
    </w:p>
    <w:p w:rsidR="00CF41A6" w:rsidRDefault="00CF41A6" w:rsidP="00385E6A">
      <w:pPr>
        <w:tabs>
          <w:tab w:val="left" w:pos="900"/>
        </w:tabs>
        <w:ind w:firstLine="540"/>
        <w:jc w:val="both"/>
        <w:rPr>
          <w:rFonts w:ascii="Segoe UI" w:hAnsi="Segoe UI" w:cs="Segoe UI"/>
          <w:sz w:val="20"/>
          <w:szCs w:val="20"/>
        </w:rPr>
      </w:pPr>
    </w:p>
    <w:p w:rsidR="00CF41A6" w:rsidRDefault="00CF41A6" w:rsidP="00385E6A">
      <w:pPr>
        <w:tabs>
          <w:tab w:val="left" w:pos="900"/>
        </w:tabs>
        <w:ind w:firstLine="540"/>
        <w:jc w:val="both"/>
        <w:rPr>
          <w:rFonts w:ascii="Segoe UI" w:hAnsi="Segoe UI" w:cs="Segoe UI"/>
          <w:sz w:val="20"/>
          <w:szCs w:val="20"/>
        </w:rPr>
      </w:pPr>
    </w:p>
    <w:p w:rsidR="00942F58" w:rsidRDefault="00942F58" w:rsidP="00942F58">
      <w:pPr>
        <w:pStyle w:val="Heading2"/>
      </w:pPr>
      <w:r>
        <w:t xml:space="preserve">მონეტარული პოლიტიკის </w:t>
      </w:r>
      <w:r w:rsidR="00CF41A6">
        <w:t>გლობალური გამკაცრება</w:t>
      </w:r>
    </w:p>
    <w:p w:rsidR="00942F58" w:rsidRPr="00810D55" w:rsidRDefault="00942F58" w:rsidP="00942F58">
      <w:pPr>
        <w:tabs>
          <w:tab w:val="left" w:pos="900"/>
        </w:tabs>
        <w:ind w:firstLine="540"/>
        <w:jc w:val="both"/>
        <w:rPr>
          <w:rFonts w:ascii="Segoe UI" w:hAnsi="Segoe UI" w:cs="Segoe UI"/>
          <w:sz w:val="20"/>
          <w:szCs w:val="20"/>
          <w:lang w:val="ka-GE"/>
        </w:rPr>
      </w:pPr>
      <w:r w:rsidRPr="00810D55">
        <w:rPr>
          <w:rFonts w:ascii="Segoe UI" w:hAnsi="Segoe UI" w:cs="Segoe UI"/>
          <w:sz w:val="20"/>
          <w:szCs w:val="20"/>
        </w:rPr>
        <w:t>საერთაშორისო ბაზაზრე ნედლეულის</w:t>
      </w:r>
      <w:r w:rsidR="0015313A">
        <w:rPr>
          <w:rFonts w:ascii="Segoe UI" w:hAnsi="Segoe UI" w:cs="Segoe UI"/>
          <w:sz w:val="20"/>
          <w:szCs w:val="20"/>
          <w:lang w:val="ka-GE"/>
        </w:rPr>
        <w:t>,</w:t>
      </w:r>
      <w:r w:rsidRPr="00810D55">
        <w:rPr>
          <w:rFonts w:ascii="Segoe UI" w:hAnsi="Segoe UI" w:cs="Segoe UI"/>
          <w:sz w:val="20"/>
          <w:szCs w:val="20"/>
        </w:rPr>
        <w:t xml:space="preserve"> ნავთობის</w:t>
      </w:r>
      <w:r w:rsidR="0015313A">
        <w:rPr>
          <w:rFonts w:ascii="Segoe UI" w:hAnsi="Segoe UI" w:cs="Segoe UI"/>
          <w:sz w:val="20"/>
          <w:szCs w:val="20"/>
          <w:lang w:val="ka-GE"/>
        </w:rPr>
        <w:t>,</w:t>
      </w:r>
      <w:r w:rsidRPr="00810D55">
        <w:rPr>
          <w:rFonts w:ascii="Segoe UI" w:hAnsi="Segoe UI" w:cs="Segoe UI"/>
          <w:sz w:val="20"/>
          <w:szCs w:val="20"/>
        </w:rPr>
        <w:t xml:space="preserve"> გაზის ფასების ზრდამ</w:t>
      </w:r>
      <w:r w:rsidR="0015313A">
        <w:rPr>
          <w:rFonts w:ascii="Segoe UI" w:hAnsi="Segoe UI" w:cs="Segoe UI"/>
          <w:sz w:val="20"/>
          <w:szCs w:val="20"/>
          <w:lang w:val="ka-GE"/>
        </w:rPr>
        <w:t>ა</w:t>
      </w:r>
      <w:r w:rsidRPr="00810D55">
        <w:rPr>
          <w:rFonts w:ascii="Segoe UI" w:hAnsi="Segoe UI" w:cs="Segoe UI"/>
          <w:sz w:val="20"/>
          <w:szCs w:val="20"/>
        </w:rPr>
        <w:t xml:space="preserve"> და მნიშვნელოვანმა ფისკალურმა სტიმულებმა გამოიწვია იფნლაციური წნეხის ზრდა. </w:t>
      </w:r>
      <w:r>
        <w:rPr>
          <w:rFonts w:ascii="Segoe UI" w:hAnsi="Segoe UI" w:cs="Segoe UI"/>
          <w:sz w:val="20"/>
          <w:szCs w:val="20"/>
          <w:lang w:val="ka-GE"/>
        </w:rPr>
        <w:t>საერთაშორისო სავალუტო ფონდის განახლებული პროგნოზის მიხედვით (ოქტომბერი, 2021), განვითარებული ქვეყნების ინ</w:t>
      </w:r>
      <w:r w:rsidR="00CF41A6">
        <w:rPr>
          <w:rFonts w:ascii="Segoe UI" w:hAnsi="Segoe UI" w:cs="Segoe UI"/>
          <w:sz w:val="20"/>
          <w:szCs w:val="20"/>
          <w:lang w:val="ka-GE"/>
        </w:rPr>
        <w:t>ფ</w:t>
      </w:r>
      <w:r>
        <w:rPr>
          <w:rFonts w:ascii="Segoe UI" w:hAnsi="Segoe UI" w:cs="Segoe UI"/>
          <w:sz w:val="20"/>
          <w:szCs w:val="20"/>
          <w:lang w:val="ka-GE"/>
        </w:rPr>
        <w:t>ლაცია გაიზრდება 2020 წლის 0.7 პროცენტიდან 2.8 პროცენტამდე 2021 წელს. აშშ-ს შემთვევაშ</w:t>
      </w:r>
      <w:r w:rsidR="0015313A">
        <w:rPr>
          <w:rFonts w:ascii="Segoe UI" w:hAnsi="Segoe UI" w:cs="Segoe UI"/>
          <w:sz w:val="20"/>
          <w:szCs w:val="20"/>
          <w:lang w:val="ka-GE"/>
        </w:rPr>
        <w:t>ი</w:t>
      </w:r>
      <w:r>
        <w:rPr>
          <w:rFonts w:ascii="Segoe UI" w:hAnsi="Segoe UI" w:cs="Segoe UI"/>
          <w:sz w:val="20"/>
          <w:szCs w:val="20"/>
          <w:lang w:val="ka-GE"/>
        </w:rPr>
        <w:t>, საერთაშორისო სავალუტო ფონდის მიხედვით, ინფლაცია გაიზრდება 1.2 პროცენტიდან 2020 წელს</w:t>
      </w:r>
      <w:r w:rsidR="007C4386">
        <w:rPr>
          <w:rFonts w:ascii="Segoe UI" w:hAnsi="Segoe UI" w:cs="Segoe UI"/>
          <w:sz w:val="20"/>
          <w:szCs w:val="20"/>
          <w:lang w:val="ka-GE"/>
        </w:rPr>
        <w:t>,</w:t>
      </w:r>
      <w:r>
        <w:rPr>
          <w:rFonts w:ascii="Segoe UI" w:hAnsi="Segoe UI" w:cs="Segoe UI"/>
          <w:sz w:val="20"/>
          <w:szCs w:val="20"/>
          <w:lang w:val="ka-GE"/>
        </w:rPr>
        <w:t xml:space="preserve"> 4.3 პროცენტამდე 2021 წელს. ინფლაციის აღნიშნული მატება მოითხოვს მომავალში ცენტრალური ბანკის მეირ მონეტარული პოლიტიკის გამკაცრებას. კერძოდ, აშშ-ს ფედერალურმა სარეზერვო სისტემამ განაცხადა შერბილებული მონეტარული პოლიტიკიდან გამოსვლის საჭიროება, რაც ნიშნავს მონეტარული პოლიტიკის განაკვეთის ზრდას. აღნიშნული განაკვეთის ზრდა გამოიწვევს აშშ დოლარის გამყარებას სხვა ვალუტების მიმართ და,  შესაბამსიად, ლარის გაუფასურებას აშშ დოლარის მიმართ. საქართველოს ეკონომიკის მაღალი დოლარიზაციიდან გამომდინარე, აშშ დოლარის მიმართ ლარის გაუფასურება ქმნის უარყოფით მოლოდინებს მომავალი გაუფასურების მიმართ, რაც ასევე მოლოდინების მექანიზმით და იმპორტის მნიშვნელოვანი მოცულობიდან გამომდინარე, გავლენას ახდენს ფასების დონეზე. შესაბამისად, გლობალური ეკონომიკის მონეტარული პოლიტიკის გამკაცრება წარმაოდგენს საქართველოსთვის რისკის ერთ-ერთ წყაროს გაცვლითი კურსისა და ინფლაციაზე გავლენის მხრივ.</w:t>
      </w:r>
    </w:p>
    <w:p w:rsidR="00942F58" w:rsidRDefault="00942F58" w:rsidP="00385E6A">
      <w:pPr>
        <w:tabs>
          <w:tab w:val="left" w:pos="900"/>
        </w:tabs>
        <w:ind w:firstLine="540"/>
        <w:jc w:val="both"/>
        <w:rPr>
          <w:rFonts w:ascii="Segoe UI" w:hAnsi="Segoe UI" w:cs="Segoe UI"/>
          <w:sz w:val="20"/>
          <w:szCs w:val="20"/>
        </w:rPr>
      </w:pPr>
    </w:p>
    <w:p w:rsidR="00FA0023" w:rsidRDefault="00FA0023" w:rsidP="00385E6A">
      <w:pPr>
        <w:tabs>
          <w:tab w:val="left" w:pos="900"/>
        </w:tabs>
        <w:ind w:firstLine="540"/>
        <w:jc w:val="both"/>
        <w:rPr>
          <w:rFonts w:ascii="Segoe UI" w:hAnsi="Segoe UI" w:cs="Segoe UI"/>
          <w:sz w:val="20"/>
          <w:szCs w:val="20"/>
        </w:rPr>
      </w:pPr>
    </w:p>
    <w:p w:rsidR="00194344" w:rsidRDefault="00194344" w:rsidP="00194344">
      <w:pPr>
        <w:pStyle w:val="Heading1"/>
        <w:numPr>
          <w:ilvl w:val="0"/>
          <w:numId w:val="4"/>
        </w:numPr>
        <w:ind w:left="360" w:hanging="360"/>
        <w:rPr>
          <w:b/>
          <w:bCs w:val="0"/>
        </w:rPr>
      </w:pPr>
      <w:r w:rsidRPr="00B87A65">
        <w:rPr>
          <w:b/>
          <w:bCs w:val="0"/>
        </w:rPr>
        <w:t>სცენარები საშუალოვადიან პერიოდში</w:t>
      </w:r>
    </w:p>
    <w:p w:rsidR="00AF4337" w:rsidRPr="00C201A7" w:rsidRDefault="00AF4337" w:rsidP="00AF4337">
      <w:pPr>
        <w:spacing w:line="276" w:lineRule="auto"/>
        <w:ind w:firstLine="540"/>
        <w:jc w:val="both"/>
        <w:rPr>
          <w:rFonts w:ascii="Segoe UI" w:hAnsi="Segoe UI" w:cs="Segoe UI"/>
          <w:sz w:val="20"/>
          <w:szCs w:val="20"/>
        </w:rPr>
      </w:pPr>
      <w:r w:rsidRPr="00C201A7">
        <w:rPr>
          <w:rFonts w:ascii="Segoe UI" w:hAnsi="Segoe UI" w:cs="Segoe UI"/>
          <w:sz w:val="20"/>
          <w:szCs w:val="20"/>
          <w:lang w:val="ka-GE"/>
        </w:rPr>
        <w:t xml:space="preserve">წარმოდგენილია </w:t>
      </w:r>
      <w:r w:rsidRPr="00C201A7">
        <w:rPr>
          <w:rFonts w:ascii="Segoe UI" w:hAnsi="Segoe UI" w:cs="Segoe UI"/>
          <w:sz w:val="20"/>
          <w:szCs w:val="20"/>
        </w:rPr>
        <w:t>ეკონომიკური პროგნოზების</w:t>
      </w:r>
      <w:r w:rsidRPr="00C201A7">
        <w:rPr>
          <w:rFonts w:ascii="Segoe UI" w:hAnsi="Segoe UI" w:cs="Segoe UI"/>
          <w:sz w:val="20"/>
          <w:szCs w:val="20"/>
          <w:lang w:val="ka-GE"/>
        </w:rPr>
        <w:t xml:space="preserve"> </w:t>
      </w:r>
      <w:r w:rsidRPr="00C201A7">
        <w:rPr>
          <w:rFonts w:ascii="Segoe UI" w:hAnsi="Segoe UI" w:cs="Segoe UI"/>
          <w:sz w:val="20"/>
          <w:szCs w:val="20"/>
        </w:rPr>
        <w:t>სამი სცენარი -</w:t>
      </w:r>
      <w:r w:rsidRPr="00C201A7">
        <w:rPr>
          <w:rFonts w:ascii="Segoe UI" w:hAnsi="Segoe UI" w:cs="Segoe UI"/>
          <w:sz w:val="20"/>
          <w:szCs w:val="20"/>
          <w:lang w:val="ka-GE"/>
        </w:rPr>
        <w:t xml:space="preserve"> </w:t>
      </w:r>
      <w:r w:rsidRPr="00C201A7">
        <w:rPr>
          <w:rFonts w:ascii="Segoe UI" w:hAnsi="Segoe UI" w:cs="Segoe UI"/>
          <w:sz w:val="20"/>
          <w:szCs w:val="20"/>
        </w:rPr>
        <w:t xml:space="preserve">საბაზისო, პოზიტიური და </w:t>
      </w:r>
      <w:r w:rsidRPr="00C201A7">
        <w:rPr>
          <w:rFonts w:ascii="Segoe UI" w:hAnsi="Segoe UI" w:cs="Segoe UI"/>
          <w:sz w:val="20"/>
          <w:szCs w:val="20"/>
          <w:lang w:val="ka-GE"/>
        </w:rPr>
        <w:t>ნეგატიური</w:t>
      </w:r>
      <w:r w:rsidRPr="00C201A7">
        <w:rPr>
          <w:rFonts w:ascii="Segoe UI" w:hAnsi="Segoe UI" w:cs="Segoe UI"/>
          <w:sz w:val="20"/>
          <w:szCs w:val="20"/>
        </w:rPr>
        <w:t>.</w:t>
      </w:r>
      <w:r w:rsidRPr="00C201A7">
        <w:rPr>
          <w:rFonts w:ascii="Segoe UI" w:hAnsi="Segoe UI" w:cs="Segoe UI"/>
          <w:sz w:val="20"/>
          <w:szCs w:val="20"/>
          <w:lang w:val="ka-GE"/>
        </w:rPr>
        <w:t xml:space="preserve"> აღნიშნული </w:t>
      </w:r>
      <w:r w:rsidRPr="00C201A7">
        <w:rPr>
          <w:rFonts w:ascii="Segoe UI" w:hAnsi="Segoe UI" w:cs="Segoe UI"/>
          <w:sz w:val="20"/>
          <w:szCs w:val="20"/>
        </w:rPr>
        <w:t>სცენარები ეფუძნება მე</w:t>
      </w:r>
      <w:r w:rsidRPr="00C201A7">
        <w:rPr>
          <w:rFonts w:ascii="Segoe UI" w:hAnsi="Segoe UI" w:cs="Segoe UI"/>
          <w:sz w:val="20"/>
          <w:szCs w:val="20"/>
          <w:lang w:val="ka-GE"/>
        </w:rPr>
        <w:t>ოთხე</w:t>
      </w:r>
      <w:r w:rsidRPr="00C201A7">
        <w:rPr>
          <w:rFonts w:ascii="Segoe UI" w:hAnsi="Segoe UI"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AF4337" w:rsidRPr="00C201A7" w:rsidRDefault="00AF4337" w:rsidP="00C201A7">
      <w:pPr>
        <w:spacing w:line="276" w:lineRule="auto"/>
        <w:ind w:firstLine="540"/>
        <w:jc w:val="both"/>
        <w:rPr>
          <w:rFonts w:ascii="Segoe UI" w:hAnsi="Segoe UI" w:cs="Segoe UI"/>
          <w:sz w:val="20"/>
          <w:szCs w:val="20"/>
          <w:lang w:val="ka-GE"/>
        </w:rPr>
      </w:pPr>
      <w:r w:rsidRPr="00C201A7">
        <w:rPr>
          <w:rFonts w:ascii="Segoe UI" w:hAnsi="Segoe UI"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C201A7">
        <w:rPr>
          <w:rFonts w:ascii="Segoe UI" w:eastAsiaTheme="minorEastAsia" w:hAnsi="Segoe UI" w:cs="Segoe UI"/>
          <w:sz w:val="20"/>
          <w:szCs w:val="20"/>
        </w:rPr>
        <w:t>ზ</w:t>
      </w:r>
      <w:r w:rsidRPr="00C201A7">
        <w:rPr>
          <w:rFonts w:ascii="Segoe UI" w:eastAsiaTheme="minorEastAsia" w:hAnsi="Segoe UI" w:cs="Segoe UI"/>
          <w:sz w:val="20"/>
          <w:szCs w:val="20"/>
          <w:lang w:val="ka-GE"/>
        </w:rPr>
        <w:t>ე</w:t>
      </w:r>
      <w:r w:rsidRPr="00C201A7">
        <w:rPr>
          <w:rFonts w:ascii="Segoe UI" w:hAnsi="Segoe UI" w:cs="Segoe UI"/>
          <w:sz w:val="20"/>
          <w:szCs w:val="20"/>
        </w:rPr>
        <w:t>, ხოლო შემდეგ ეგზოგენური ცვლადების საფუძველზე კეთდება პროგნოზები</w:t>
      </w:r>
      <w:r w:rsidRPr="00C201A7">
        <w:rPr>
          <w:rFonts w:ascii="Segoe UI" w:hAnsi="Segoe UI" w:cs="Segoe UI"/>
          <w:sz w:val="20"/>
          <w:szCs w:val="20"/>
          <w:lang w:val="ka-GE"/>
        </w:rPr>
        <w:t>.</w:t>
      </w:r>
      <w:r w:rsidRPr="00C201A7">
        <w:rPr>
          <w:rFonts w:ascii="Segoe UI" w:hAnsi="Segoe UI" w:cs="Segoe UI"/>
          <w:sz w:val="20"/>
          <w:szCs w:val="20"/>
        </w:rPr>
        <w:t xml:space="preserve"> </w:t>
      </w:r>
      <w:r w:rsidRPr="00C201A7">
        <w:rPr>
          <w:rFonts w:ascii="Segoe UI" w:hAnsi="Segoe UI"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AF4337" w:rsidRPr="00C201A7" w:rsidRDefault="00AF4337" w:rsidP="00C201A7">
      <w:pPr>
        <w:spacing w:line="276" w:lineRule="auto"/>
        <w:ind w:firstLine="360"/>
        <w:jc w:val="both"/>
        <w:rPr>
          <w:rFonts w:ascii="Segoe UI" w:hAnsi="Segoe UI" w:cs="Segoe UI"/>
          <w:sz w:val="20"/>
          <w:szCs w:val="20"/>
        </w:rPr>
      </w:pPr>
      <w:r w:rsidRPr="00C201A7">
        <w:rPr>
          <w:rFonts w:ascii="Segoe UI" w:hAnsi="Segoe UI"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AF4337" w:rsidRPr="00D300AA" w:rsidRDefault="00AF4337" w:rsidP="00AF4337">
      <w:pPr>
        <w:pStyle w:val="Heading2"/>
        <w:rPr>
          <w:lang w:val="af-ZA"/>
        </w:rPr>
      </w:pPr>
      <w:r>
        <w:t xml:space="preserve"> საბაზისო სცენარი</w:t>
      </w:r>
    </w:p>
    <w:p w:rsidR="00AF4337" w:rsidRPr="00C201A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rPr>
        <w:t>საბაზისო სცენ</w:t>
      </w:r>
      <w:r w:rsidRPr="00C201A7">
        <w:rPr>
          <w:rFonts w:ascii="Segoe UI" w:hAnsi="Segoe UI" w:cs="Segoe UI"/>
          <w:sz w:val="20"/>
          <w:szCs w:val="20"/>
          <w:lang w:val="ka-GE"/>
        </w:rPr>
        <w:t>ა</w:t>
      </w:r>
      <w:r w:rsidRPr="00C201A7">
        <w:rPr>
          <w:rFonts w:ascii="Segoe UI" w:hAnsi="Segoe UI" w:cs="Segoe UI"/>
          <w:sz w:val="20"/>
          <w:szCs w:val="20"/>
        </w:rPr>
        <w:t>რში 202</w:t>
      </w:r>
      <w:r w:rsidRPr="00C201A7">
        <w:rPr>
          <w:rFonts w:ascii="Segoe UI" w:hAnsi="Segoe UI" w:cs="Segoe UI"/>
          <w:sz w:val="20"/>
          <w:szCs w:val="20"/>
          <w:lang w:val="ka-GE"/>
        </w:rPr>
        <w:t>1</w:t>
      </w:r>
      <w:r w:rsidRPr="00C201A7">
        <w:rPr>
          <w:rFonts w:ascii="Segoe UI" w:hAnsi="Segoe UI" w:cs="Segoe UI"/>
          <w:sz w:val="20"/>
          <w:szCs w:val="20"/>
        </w:rPr>
        <w:t xml:space="preserve"> წლის ეკონომიკური ზრდა </w:t>
      </w:r>
      <w:r w:rsidR="00942F58" w:rsidRPr="004E77CF">
        <w:rPr>
          <w:rFonts w:ascii="Segoe UI" w:hAnsi="Segoe UI" w:cs="Segoe UI"/>
          <w:sz w:val="20"/>
          <w:szCs w:val="20"/>
        </w:rPr>
        <w:t>10</w:t>
      </w:r>
      <w:r w:rsidRPr="00C201A7">
        <w:rPr>
          <w:rFonts w:ascii="Segoe UI" w:hAnsi="Segoe UI" w:cs="Segoe UI"/>
          <w:sz w:val="20"/>
          <w:szCs w:val="20"/>
        </w:rPr>
        <w:t xml:space="preserve"> პროცენტის დონეზეა მოსალოდნელი. 202</w:t>
      </w:r>
      <w:r w:rsidRPr="004E77CF">
        <w:rPr>
          <w:rFonts w:ascii="Segoe UI" w:hAnsi="Segoe UI" w:cs="Segoe UI"/>
          <w:sz w:val="20"/>
          <w:szCs w:val="20"/>
        </w:rPr>
        <w:t>2</w:t>
      </w:r>
      <w:r w:rsidRPr="00C201A7">
        <w:rPr>
          <w:rFonts w:ascii="Segoe UI" w:hAnsi="Segoe UI" w:cs="Segoe UI"/>
          <w:sz w:val="20"/>
          <w:szCs w:val="20"/>
        </w:rPr>
        <w:t xml:space="preserve"> წლიდან ეკონომიკა გააგძელებს საშუალოდ </w:t>
      </w:r>
      <w:r w:rsidR="00E77198" w:rsidRPr="004E77CF">
        <w:rPr>
          <w:rFonts w:ascii="Segoe UI" w:hAnsi="Segoe UI" w:cs="Segoe UI"/>
          <w:sz w:val="20"/>
          <w:szCs w:val="20"/>
        </w:rPr>
        <w:t>5.5</w:t>
      </w:r>
      <w:r w:rsidRPr="00C201A7">
        <w:rPr>
          <w:rFonts w:ascii="Segoe UI" w:hAnsi="Segoe UI" w:cs="Segoe UI"/>
          <w:sz w:val="20"/>
          <w:szCs w:val="20"/>
        </w:rPr>
        <w:t xml:space="preserve"> პროცენტიან ზრდას</w:t>
      </w:r>
      <w:r w:rsidRPr="004E77CF">
        <w:rPr>
          <w:rFonts w:ascii="Segoe UI" w:hAnsi="Segoe UI" w:cs="Segoe UI"/>
          <w:sz w:val="20"/>
          <w:szCs w:val="20"/>
        </w:rPr>
        <w:t>, 2022-2025 წლებში</w:t>
      </w:r>
      <w:r w:rsidRPr="00C201A7">
        <w:rPr>
          <w:rFonts w:ascii="Segoe UI" w:hAnsi="Segoe UI" w:cs="Segoe UI"/>
          <w:sz w:val="20"/>
          <w:szCs w:val="20"/>
        </w:rPr>
        <w:t xml:space="preserve">. </w:t>
      </w:r>
      <w:r w:rsidRPr="004E77CF">
        <w:rPr>
          <w:rFonts w:ascii="Segoe UI" w:hAnsi="Segoe UI" w:cs="Segoe UI"/>
          <w:sz w:val="20"/>
          <w:szCs w:val="20"/>
        </w:rPr>
        <w:t xml:space="preserve">ამ სცენარით 2025 წლისათვის ნულოვან სცენართან (პანდემიის არარსებობის შემთხვევაში) შედარებით ჩამორჩენა იქნება </w:t>
      </w:r>
      <w:r w:rsidR="00EB1041" w:rsidRPr="004E77CF">
        <w:rPr>
          <w:rFonts w:ascii="Segoe UI" w:hAnsi="Segoe UI" w:cs="Segoe UI"/>
          <w:sz w:val="20"/>
          <w:szCs w:val="20"/>
        </w:rPr>
        <w:t xml:space="preserve">დაახლოებით </w:t>
      </w:r>
      <w:r w:rsidR="00E77198" w:rsidRPr="004E77CF">
        <w:rPr>
          <w:rFonts w:ascii="Segoe UI" w:hAnsi="Segoe UI" w:cs="Segoe UI"/>
          <w:sz w:val="20"/>
          <w:szCs w:val="20"/>
        </w:rPr>
        <w:t>2.</w:t>
      </w:r>
      <w:r w:rsidR="00EB1041" w:rsidRPr="004E77CF">
        <w:rPr>
          <w:rFonts w:ascii="Segoe UI" w:hAnsi="Segoe UI" w:cs="Segoe UI"/>
          <w:sz w:val="20"/>
          <w:szCs w:val="20"/>
        </w:rPr>
        <w:t>5</w:t>
      </w:r>
      <w:r w:rsidRPr="004E77CF">
        <w:rPr>
          <w:rFonts w:ascii="Segoe UI" w:hAnsi="Segoe UI" w:cs="Segoe UI"/>
          <w:sz w:val="20"/>
          <w:szCs w:val="20"/>
        </w:rPr>
        <w:t xml:space="preserve"> პროცენტი. ეს ნიშნავს, რომ ეკონომიკა შეძლებს 2020 წლის დანაკარგის დაახლოებით </w:t>
      </w:r>
      <w:r w:rsidR="00952242" w:rsidRPr="004E77CF">
        <w:rPr>
          <w:rFonts w:ascii="Segoe UI" w:hAnsi="Segoe UI" w:cs="Segoe UI"/>
          <w:sz w:val="20"/>
          <w:szCs w:val="20"/>
        </w:rPr>
        <w:t>¾-ის</w:t>
      </w:r>
      <w:r w:rsidRPr="004E77CF">
        <w:rPr>
          <w:rFonts w:ascii="Segoe UI" w:hAnsi="Segoe UI" w:cs="Segoe UI"/>
          <w:sz w:val="20"/>
          <w:szCs w:val="20"/>
        </w:rPr>
        <w:t xml:space="preserve"> აღდგენას. დანაკარგის მოცულობა 2020-2025 წლებში შეადგენს აღნიშნული პერიოდის საშუალო მშპ-ს დაახლოებით </w:t>
      </w:r>
      <w:r w:rsidR="00EB1041" w:rsidRPr="004E77CF">
        <w:rPr>
          <w:rFonts w:ascii="Segoe UI" w:hAnsi="Segoe UI" w:cs="Segoe UI"/>
          <w:sz w:val="20"/>
          <w:szCs w:val="20"/>
        </w:rPr>
        <w:t>4.9</w:t>
      </w:r>
      <w:r w:rsidRPr="004E77CF">
        <w:rPr>
          <w:rFonts w:ascii="Segoe UI" w:hAnsi="Segoe UI" w:cs="Segoe UI"/>
          <w:sz w:val="20"/>
          <w:szCs w:val="20"/>
        </w:rPr>
        <w:t xml:space="preserve"> პროცენტს.</w:t>
      </w:r>
      <w:r w:rsidRPr="00C201A7">
        <w:rPr>
          <w:rFonts w:ascii="Segoe UI" w:hAnsi="Segoe UI" w:cs="Segoe UI"/>
          <w:sz w:val="20"/>
          <w:szCs w:val="20"/>
        </w:rPr>
        <w:t xml:space="preserve"> დანაკარგი ნეგატიურად მოქმედებს ეკონომიკის გრძელვადიან განვითარებაზე რადგან მცირდება კერძო სექტორის საინვესტიციო პოტენციალი და ასევე სახელმწიფო კაპტალური ხარჯების რესურსი.</w:t>
      </w:r>
      <w:r w:rsidRPr="00C201A7">
        <w:rPr>
          <w:rFonts w:ascii="Segoe UI" w:hAnsi="Segoe UI" w:cs="Segoe UI"/>
          <w:sz w:val="20"/>
          <w:szCs w:val="20"/>
          <w:lang w:val="ka-GE"/>
        </w:rPr>
        <w:t xml:space="preserve"> </w:t>
      </w:r>
    </w:p>
    <w:p w:rsidR="00AF4337" w:rsidRPr="00C201A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t xml:space="preserve">რაც შეეხება ინფლაციას, </w:t>
      </w:r>
      <w:r w:rsidRPr="00C201A7">
        <w:rPr>
          <w:rFonts w:ascii="Segoe UI" w:hAnsi="Segoe UI" w:cs="Segoe UI"/>
          <w:sz w:val="20"/>
          <w:szCs w:val="20"/>
        </w:rPr>
        <w:t>202</w:t>
      </w:r>
      <w:r w:rsidRPr="00C201A7">
        <w:rPr>
          <w:rFonts w:ascii="Segoe UI" w:hAnsi="Segoe UI" w:cs="Segoe UI"/>
          <w:sz w:val="20"/>
          <w:szCs w:val="20"/>
          <w:lang w:val="ka-GE"/>
        </w:rPr>
        <w:t>1</w:t>
      </w:r>
      <w:r w:rsidRPr="00C201A7">
        <w:rPr>
          <w:rFonts w:ascii="Segoe UI" w:hAnsi="Segoe UI" w:cs="Segoe UI"/>
          <w:sz w:val="20"/>
          <w:szCs w:val="20"/>
        </w:rPr>
        <w:t xml:space="preserve"> წელს ინფლაცია </w:t>
      </w:r>
      <w:r w:rsidR="00056D0F" w:rsidRPr="00C201A7">
        <w:rPr>
          <w:rFonts w:ascii="Segoe UI" w:hAnsi="Segoe UI" w:cs="Segoe UI"/>
          <w:sz w:val="20"/>
          <w:szCs w:val="20"/>
          <w:lang w:val="ka-GE"/>
        </w:rPr>
        <w:t>8.9</w:t>
      </w:r>
      <w:r w:rsidRPr="00C201A7">
        <w:rPr>
          <w:rFonts w:ascii="Segoe UI" w:hAnsi="Segoe UI" w:cs="Segoe UI"/>
          <w:sz w:val="20"/>
          <w:szCs w:val="20"/>
        </w:rPr>
        <w:t xml:space="preserve"> პროცენტ</w:t>
      </w:r>
      <w:r w:rsidRPr="00C201A7">
        <w:rPr>
          <w:rFonts w:ascii="Segoe UI" w:hAnsi="Segoe UI" w:cs="Segoe UI"/>
          <w:sz w:val="20"/>
          <w:szCs w:val="20"/>
          <w:lang w:val="ka-GE"/>
        </w:rPr>
        <w:t>ი</w:t>
      </w:r>
      <w:r w:rsidRPr="00C201A7">
        <w:rPr>
          <w:rFonts w:ascii="Segoe UI" w:hAnsi="Segoe UI" w:cs="Segoe UI"/>
          <w:sz w:val="20"/>
          <w:szCs w:val="20"/>
        </w:rPr>
        <w:t xml:space="preserve">ს </w:t>
      </w:r>
      <w:r w:rsidRPr="00C201A7">
        <w:rPr>
          <w:rFonts w:ascii="Segoe UI" w:hAnsi="Segoe UI" w:cs="Segoe UI"/>
          <w:sz w:val="20"/>
          <w:szCs w:val="20"/>
          <w:lang w:val="ka-GE"/>
        </w:rPr>
        <w:t>დონეზეა მოსალოდნელი</w:t>
      </w:r>
      <w:r w:rsidRPr="00C201A7">
        <w:rPr>
          <w:rFonts w:ascii="Segoe UI" w:hAnsi="Segoe UI" w:cs="Segoe UI"/>
          <w:sz w:val="20"/>
          <w:szCs w:val="20"/>
        </w:rPr>
        <w:t xml:space="preserve">. ეს მაჩვენებელი ძირითადად განპირობებულია </w:t>
      </w:r>
      <w:r w:rsidRPr="00C201A7">
        <w:rPr>
          <w:rFonts w:ascii="Segoe UI" w:hAnsi="Segoe UI" w:cs="Segoe UI"/>
          <w:sz w:val="20"/>
          <w:szCs w:val="20"/>
          <w:lang w:val="ka-GE"/>
        </w:rPr>
        <w:t>როგორც</w:t>
      </w:r>
      <w:r w:rsidRPr="00C201A7">
        <w:rPr>
          <w:rFonts w:ascii="Segoe UI" w:hAnsi="Segoe UI" w:cs="Segoe UI"/>
          <w:sz w:val="20"/>
          <w:szCs w:val="20"/>
        </w:rPr>
        <w:t xml:space="preserve"> მიწოდების შოკ</w:t>
      </w:r>
      <w:r w:rsidRPr="00C201A7">
        <w:rPr>
          <w:rFonts w:ascii="Segoe UI" w:hAnsi="Segoe UI" w:cs="Segoe UI"/>
          <w:sz w:val="20"/>
          <w:szCs w:val="20"/>
          <w:lang w:val="ka-GE"/>
        </w:rPr>
        <w:t>ი</w:t>
      </w:r>
      <w:r w:rsidRPr="00C201A7">
        <w:rPr>
          <w:rFonts w:ascii="Segoe UI" w:hAnsi="Segoe UI" w:cs="Segoe UI"/>
          <w:sz w:val="20"/>
          <w:szCs w:val="20"/>
        </w:rPr>
        <w:t>თ</w:t>
      </w:r>
      <w:r w:rsidRPr="00C201A7">
        <w:rPr>
          <w:rFonts w:ascii="Segoe UI" w:hAnsi="Segoe UI" w:cs="Segoe UI"/>
          <w:sz w:val="20"/>
          <w:szCs w:val="20"/>
          <w:lang w:val="ka-GE"/>
        </w:rPr>
        <w:t>, რაც წარმოების გაზრდილ ხარჯებსა და ლარის გაუფასურებიდან გამომდინარე გაზრდილ იმპორტირებულ ინფლაციას გულისხმობს, ასევე - კონკრეტულ პროდუქციებზე სუბსიდირების პროგრამის შეწყვეტის გამო დაფიქსირებული შედარებით მაღალი ინფლაციით</w:t>
      </w:r>
      <w:r w:rsidR="00942F58">
        <w:rPr>
          <w:rFonts w:ascii="Segoe UI" w:hAnsi="Segoe UI" w:cs="Segoe UI"/>
          <w:sz w:val="20"/>
          <w:szCs w:val="20"/>
          <w:lang w:val="ka-GE"/>
        </w:rPr>
        <w:t>.</w:t>
      </w:r>
      <w:r w:rsidR="00056D0F" w:rsidRPr="00C201A7">
        <w:rPr>
          <w:rFonts w:ascii="Segoe UI" w:hAnsi="Segoe UI" w:cs="Segoe UI"/>
          <w:sz w:val="20"/>
          <w:szCs w:val="20"/>
          <w:lang w:val="ka-GE"/>
        </w:rPr>
        <w:t xml:space="preserve"> ამას დაემატა აღდგენილი მოთხოვნა, რაც დამატებით ზრდის ინფლაციის მაჩვენებელს</w:t>
      </w:r>
      <w:r w:rsidR="00056D0F" w:rsidRPr="00C201A7">
        <w:rPr>
          <w:rFonts w:ascii="Segoe UI" w:hAnsi="Segoe UI" w:cs="Segoe UI"/>
          <w:sz w:val="20"/>
          <w:szCs w:val="20"/>
        </w:rPr>
        <w:t>.</w:t>
      </w:r>
      <w:r w:rsidRPr="00C201A7">
        <w:rPr>
          <w:rFonts w:ascii="Segoe UI" w:hAnsi="Segoe UI" w:cs="Segoe UI"/>
          <w:sz w:val="20"/>
          <w:szCs w:val="20"/>
        </w:rPr>
        <w:t xml:space="preserve"> საშუალოვადიან პერიოდში </w:t>
      </w:r>
      <w:r w:rsidR="003A4883" w:rsidRPr="00C201A7">
        <w:rPr>
          <w:rFonts w:ascii="Segoe UI" w:hAnsi="Segoe UI" w:cs="Segoe UI"/>
          <w:sz w:val="20"/>
          <w:szCs w:val="20"/>
          <w:lang w:val="ka-GE"/>
        </w:rPr>
        <w:t xml:space="preserve">მოსალოდნელი, რომ გაძლიერდება გამკაცრებული </w:t>
      </w:r>
      <w:r w:rsidR="00884BBA" w:rsidRPr="00C201A7">
        <w:rPr>
          <w:rFonts w:ascii="Segoe UI" w:hAnsi="Segoe UI" w:cs="Segoe UI"/>
          <w:sz w:val="20"/>
          <w:szCs w:val="20"/>
          <w:lang w:val="ka-GE"/>
        </w:rPr>
        <w:t>მონე</w:t>
      </w:r>
      <w:r w:rsidR="003A4883" w:rsidRPr="00C201A7">
        <w:rPr>
          <w:rFonts w:ascii="Segoe UI" w:hAnsi="Segoe UI" w:cs="Segoe UI"/>
          <w:sz w:val="20"/>
          <w:szCs w:val="20"/>
          <w:lang w:val="ka-GE"/>
        </w:rPr>
        <w:t>ტ</w:t>
      </w:r>
      <w:r w:rsidR="00884BBA" w:rsidRPr="00C201A7">
        <w:rPr>
          <w:rFonts w:ascii="Segoe UI" w:hAnsi="Segoe UI" w:cs="Segoe UI"/>
          <w:sz w:val="20"/>
          <w:szCs w:val="20"/>
          <w:lang w:val="ka-GE"/>
        </w:rPr>
        <w:t>ა</w:t>
      </w:r>
      <w:r w:rsidR="003A4883" w:rsidRPr="00C201A7">
        <w:rPr>
          <w:rFonts w:ascii="Segoe UI" w:hAnsi="Segoe UI" w:cs="Segoe UI"/>
          <w:sz w:val="20"/>
          <w:szCs w:val="20"/>
          <w:lang w:val="ka-GE"/>
        </w:rPr>
        <w:t xml:space="preserve">რული პოლიტიკის გავლენა ფასებზე შემცირების მიმართულებით, </w:t>
      </w:r>
      <w:r w:rsidR="00056D0F" w:rsidRPr="00C201A7">
        <w:rPr>
          <w:rFonts w:ascii="Segoe UI" w:hAnsi="Segoe UI" w:cs="Segoe UI"/>
          <w:sz w:val="20"/>
          <w:szCs w:val="20"/>
          <w:lang w:val="ka-GE"/>
        </w:rPr>
        <w:t xml:space="preserve">აგრევთვე ამოიწურება ერთჯერადი ფაქტორების ეფექტი, </w:t>
      </w:r>
      <w:r w:rsidRPr="00C201A7">
        <w:rPr>
          <w:rFonts w:ascii="Segoe UI" w:hAnsi="Segoe UI" w:cs="Segoe UI"/>
          <w:sz w:val="20"/>
          <w:szCs w:val="20"/>
        </w:rPr>
        <w:t xml:space="preserve">რაც ინფლაციის დასტაბილურებას გამოიწვევს. </w:t>
      </w:r>
      <w:r w:rsidRPr="00C201A7">
        <w:rPr>
          <w:rFonts w:ascii="Segoe UI" w:hAnsi="Segoe UI" w:cs="Segoe UI"/>
          <w:sz w:val="20"/>
          <w:szCs w:val="20"/>
          <w:lang w:val="ka-GE"/>
        </w:rPr>
        <w:t xml:space="preserve">2023 წლიდან ინფლაციის პროგნოზი მიზნობრივი მაჩვენებლის ტოლია, </w:t>
      </w:r>
    </w:p>
    <w:p w:rsidR="00AF4337" w:rsidRDefault="00AF4337" w:rsidP="00AF4337">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t xml:space="preserve">მას შემდეგ, რაც 2020 წელს </w:t>
      </w:r>
      <w:r w:rsidRPr="00C201A7">
        <w:rPr>
          <w:rFonts w:ascii="Segoe UI" w:hAnsi="Segoe UI"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C201A7">
        <w:rPr>
          <w:rFonts w:ascii="Segoe UI" w:hAnsi="Segoe UI" w:cs="Segoe UI"/>
          <w:sz w:val="20"/>
          <w:szCs w:val="20"/>
          <w:lang w:val="ka-GE"/>
        </w:rPr>
        <w:t>ი</w:t>
      </w:r>
      <w:r w:rsidRPr="00C201A7">
        <w:rPr>
          <w:rFonts w:ascii="Segoe UI" w:hAnsi="Segoe UI" w:cs="Segoe UI"/>
          <w:sz w:val="20"/>
          <w:szCs w:val="20"/>
        </w:rPr>
        <w:t xml:space="preserve"> დარტყმა მიიღ</w:t>
      </w:r>
      <w:r w:rsidRPr="00C201A7">
        <w:rPr>
          <w:rFonts w:ascii="Segoe UI" w:hAnsi="Segoe UI" w:cs="Segoe UI"/>
          <w:sz w:val="20"/>
          <w:szCs w:val="20"/>
          <w:lang w:val="ka-GE"/>
        </w:rPr>
        <w:t>ო</w:t>
      </w:r>
      <w:r w:rsidRPr="00C201A7">
        <w:rPr>
          <w:rFonts w:ascii="Segoe UI" w:hAnsi="Segoe UI" w:cs="Segoe UI"/>
          <w:sz w:val="20"/>
          <w:szCs w:val="20"/>
        </w:rPr>
        <w:t xml:space="preserve"> კერძო ინვესტიციებ</w:t>
      </w:r>
      <w:r w:rsidRPr="00C201A7">
        <w:rPr>
          <w:rFonts w:ascii="Segoe UI" w:hAnsi="Segoe UI" w:cs="Segoe UI"/>
          <w:sz w:val="20"/>
          <w:szCs w:val="20"/>
          <w:lang w:val="ka-GE"/>
        </w:rPr>
        <w:t>მა, 2021 წელს მოსალოდნელია მისი გაუმჯობესება და მშპ-ს 19.</w:t>
      </w:r>
      <w:r w:rsidR="00942F58">
        <w:rPr>
          <w:rFonts w:ascii="Segoe UI" w:hAnsi="Segoe UI" w:cs="Segoe UI"/>
          <w:sz w:val="20"/>
          <w:szCs w:val="20"/>
          <w:lang w:val="ka-GE"/>
        </w:rPr>
        <w:t>7</w:t>
      </w:r>
      <w:r w:rsidRPr="00C201A7">
        <w:rPr>
          <w:rFonts w:ascii="Segoe UI" w:hAnsi="Segoe UI" w:cs="Segoe UI"/>
          <w:sz w:val="20"/>
          <w:szCs w:val="20"/>
          <w:lang w:val="ka-GE"/>
        </w:rPr>
        <w:t xml:space="preserve"> პროცენტის დონეზე მიღწევა</w:t>
      </w:r>
      <w:r w:rsidRPr="00C201A7">
        <w:rPr>
          <w:rFonts w:ascii="Segoe UI" w:hAnsi="Segoe UI" w:cs="Segoe UI"/>
          <w:sz w:val="20"/>
          <w:szCs w:val="20"/>
        </w:rPr>
        <w:t xml:space="preserve">. </w:t>
      </w:r>
      <w:r w:rsidRPr="00C201A7">
        <w:rPr>
          <w:rFonts w:ascii="Segoe UI" w:hAnsi="Segoe UI" w:cs="Segoe UI"/>
          <w:sz w:val="20"/>
          <w:szCs w:val="20"/>
          <w:lang w:val="ka-GE"/>
        </w:rPr>
        <w:t xml:space="preserve">მომდევნო წელს </w:t>
      </w:r>
      <w:r w:rsidRPr="00C201A7">
        <w:rPr>
          <w:rFonts w:ascii="Segoe UI" w:hAnsi="Segoe UI" w:cs="Segoe UI"/>
          <w:sz w:val="20"/>
          <w:szCs w:val="20"/>
        </w:rPr>
        <w:t>ინვესტიციები</w:t>
      </w:r>
      <w:r w:rsidRPr="00C201A7">
        <w:rPr>
          <w:rFonts w:ascii="Segoe UI" w:hAnsi="Segoe UI" w:cs="Segoe UI"/>
          <w:sz w:val="20"/>
          <w:szCs w:val="20"/>
          <w:lang w:val="ka-GE"/>
        </w:rPr>
        <w:t xml:space="preserve"> აღდგენას განაგრძობს და 2022 წლისთვის მოსალოდნელია რომ დაუბრუნდება საბაზისო მაჩვენებელს. თუმცა აღსანიშნავია, რომ 2019-2021 წლებში მიღებული დანაკლისი შეამცირებს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w:t>
      </w:r>
      <w:r w:rsidR="009A4AF9" w:rsidRPr="00C201A7">
        <w:rPr>
          <w:rFonts w:ascii="Segoe UI" w:hAnsi="Segoe UI" w:cs="Segoe UI"/>
          <w:sz w:val="20"/>
          <w:szCs w:val="20"/>
          <w:lang w:val="ka-GE"/>
        </w:rPr>
        <w:t xml:space="preserve">ქვეყნის </w:t>
      </w:r>
      <w:r w:rsidRPr="00C201A7">
        <w:rPr>
          <w:rFonts w:ascii="Segoe UI" w:hAnsi="Segoe UI" w:cs="Segoe UI"/>
          <w:sz w:val="20"/>
          <w:szCs w:val="20"/>
          <w:lang w:val="ka-GE"/>
        </w:rPr>
        <w:t xml:space="preserve">საგარეო </w:t>
      </w:r>
      <w:r w:rsidR="009A4AF9" w:rsidRPr="00C201A7">
        <w:rPr>
          <w:rFonts w:ascii="Segoe UI" w:hAnsi="Segoe UI" w:cs="Segoe UI"/>
          <w:sz w:val="20"/>
          <w:szCs w:val="20"/>
          <w:lang w:val="ka-GE"/>
        </w:rPr>
        <w:t xml:space="preserve">მოწყვლადობაზე დადებითად აისახება </w:t>
      </w:r>
      <w:r w:rsidRPr="00C201A7">
        <w:rPr>
          <w:rFonts w:ascii="Segoe UI" w:hAnsi="Segoe UI" w:cs="Segoe UI"/>
          <w:sz w:val="20"/>
          <w:szCs w:val="20"/>
          <w:lang w:val="ka-GE"/>
        </w:rPr>
        <w:t xml:space="preserve">. თუმცა, მეორე მხრივ, </w:t>
      </w:r>
      <w:r w:rsidR="009A4AF9" w:rsidRPr="00C201A7">
        <w:rPr>
          <w:rFonts w:ascii="Segoe UI" w:hAnsi="Segoe UI" w:cs="Segoe UI"/>
          <w:sz w:val="20"/>
          <w:szCs w:val="20"/>
          <w:lang w:val="ka-GE"/>
        </w:rPr>
        <w:t xml:space="preserve">ამცირებს </w:t>
      </w:r>
      <w:r w:rsidRPr="00C201A7">
        <w:rPr>
          <w:rFonts w:ascii="Segoe UI" w:hAnsi="Segoe UI" w:cs="Segoe UI"/>
          <w:sz w:val="20"/>
          <w:szCs w:val="20"/>
          <w:lang w:val="ka-GE"/>
        </w:rPr>
        <w:t>პოტენციალს</w:t>
      </w:r>
      <w:r w:rsidR="00056D0F" w:rsidRPr="00C201A7">
        <w:rPr>
          <w:rFonts w:ascii="Segoe UI" w:hAnsi="Segoe UI" w:cs="Segoe UI"/>
          <w:sz w:val="20"/>
          <w:szCs w:val="20"/>
          <w:lang w:val="ka-GE"/>
        </w:rPr>
        <w:t>, რაც</w:t>
      </w:r>
      <w:r w:rsidRPr="00C201A7">
        <w:rPr>
          <w:rFonts w:ascii="Segoe UI" w:hAnsi="Segoe UI" w:cs="Segoe UI"/>
          <w:sz w:val="20"/>
          <w:szCs w:val="20"/>
          <w:lang w:val="ka-GE"/>
        </w:rPr>
        <w:t xml:space="preserve">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2021 წლისთვის კაპიტალური ხარჯები მშპ-ს </w:t>
      </w:r>
      <w:r w:rsidR="00056D0F" w:rsidRPr="00C201A7">
        <w:rPr>
          <w:rFonts w:ascii="Segoe UI" w:hAnsi="Segoe UI" w:cs="Segoe UI"/>
          <w:sz w:val="20"/>
          <w:szCs w:val="20"/>
          <w:lang w:val="ka-GE"/>
        </w:rPr>
        <w:t>7.9</w:t>
      </w:r>
      <w:r w:rsidRPr="00C201A7">
        <w:rPr>
          <w:rFonts w:ascii="Segoe UI" w:hAnsi="Segoe UI" w:cs="Segoe UI"/>
          <w:sz w:val="20"/>
          <w:szCs w:val="20"/>
          <w:lang w:val="ka-GE"/>
        </w:rPr>
        <w:t xml:space="preserve"> პროცენტზეა მოსალოდნელი, ხოლო საშუალოვადიანი პერიოდისთვის კი </w:t>
      </w:r>
      <w:r w:rsidR="00056D0F" w:rsidRPr="00C201A7">
        <w:rPr>
          <w:rFonts w:ascii="Segoe UI" w:hAnsi="Segoe UI" w:cs="Segoe UI"/>
          <w:sz w:val="20"/>
          <w:szCs w:val="20"/>
          <w:lang w:val="ka-GE"/>
        </w:rPr>
        <w:t>7.</w:t>
      </w:r>
      <w:r w:rsidRPr="00C201A7">
        <w:rPr>
          <w:rFonts w:ascii="Segoe UI" w:hAnsi="Segoe UI" w:cs="Segoe UI"/>
          <w:sz w:val="20"/>
          <w:szCs w:val="20"/>
          <w:lang w:val="ka-GE"/>
        </w:rPr>
        <w:t xml:space="preserve"> პროცენტის ფარგლებში იქნება.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9"/>
      </w:tblGrid>
      <w:tr w:rsidR="00AF4337" w:rsidTr="00AF4337">
        <w:tc>
          <w:tcPr>
            <w:tcW w:w="10437" w:type="dxa"/>
            <w:gridSpan w:val="2"/>
          </w:tcPr>
          <w:p w:rsidR="00AF4337" w:rsidRPr="008C2A37" w:rsidRDefault="00AF4337" w:rsidP="00AF4337">
            <w:pPr>
              <w:pStyle w:val="Caption"/>
              <w:rPr>
                <w:rFonts w:ascii="Segoe UI" w:hAnsi="Segoe UI" w:cs="Segoe UI"/>
              </w:rPr>
            </w:pPr>
            <w:r w:rsidRPr="008C2A37">
              <w:rPr>
                <w:rFonts w:ascii="Segoe UI" w:hAnsi="Segoe UI" w:cs="Segoe UI"/>
                <w:i w:val="0"/>
                <w:iCs w:val="0"/>
              </w:rPr>
              <w:t xml:space="preserve">დიაგრამა </w:t>
            </w:r>
            <w:r w:rsidRPr="008C2A37">
              <w:rPr>
                <w:rFonts w:ascii="Segoe UI" w:hAnsi="Segoe UI" w:cs="Segoe UI"/>
                <w:i w:val="0"/>
                <w:iCs w:val="0"/>
                <w:lang w:val="ka-GE"/>
              </w:rPr>
              <w:t>6</w:t>
            </w:r>
            <w:r w:rsidRPr="008C2A37">
              <w:rPr>
                <w:rFonts w:ascii="Segoe UI" w:hAnsi="Segoe UI" w:cs="Segoe UI"/>
                <w:i w:val="0"/>
                <w:iCs w:val="0"/>
                <w:noProof/>
              </w:rPr>
              <w:t>:</w:t>
            </w:r>
            <w:r w:rsidRPr="008C2A37">
              <w:rPr>
                <w:rFonts w:ascii="Segoe UI" w:hAnsi="Segoe UI" w:cs="Segoe UI"/>
                <w:i w:val="0"/>
                <w:iCs w:val="0"/>
                <w:lang w:val="ka-GE"/>
              </w:rPr>
              <w:t xml:space="preserve"> პროგნოზი საბაზისო სცენარის მიხედვით</w:t>
            </w:r>
          </w:p>
        </w:tc>
      </w:tr>
      <w:tr w:rsidR="00AF4337" w:rsidTr="004E77CF">
        <w:tc>
          <w:tcPr>
            <w:tcW w:w="5218" w:type="dxa"/>
          </w:tcPr>
          <w:p w:rsidR="00AF4337" w:rsidRDefault="00537F75" w:rsidP="00AF4337">
            <w:pPr>
              <w:spacing w:line="276" w:lineRule="auto"/>
              <w:jc w:val="both"/>
              <w:rPr>
                <w:rFonts w:ascii="Sylfaen" w:hAnsi="Sylfaen" w:cs="Segoe UI"/>
                <w:sz w:val="20"/>
                <w:szCs w:val="20"/>
                <w:lang w:val="ka-GE"/>
              </w:rPr>
            </w:pPr>
            <w:r>
              <w:rPr>
                <w:noProof/>
              </w:rPr>
              <w:drawing>
                <wp:anchor distT="0" distB="0" distL="114300" distR="114300" simplePos="0" relativeHeight="251668480" behindDoc="0" locked="0" layoutInCell="1" allowOverlap="1" wp14:anchorId="57159219" wp14:editId="08B856E5">
                  <wp:simplePos x="0" y="0"/>
                  <wp:positionH relativeFrom="column">
                    <wp:posOffset>-53163</wp:posOffset>
                  </wp:positionH>
                  <wp:positionV relativeFrom="paragraph">
                    <wp:posOffset>34186</wp:posOffset>
                  </wp:positionV>
                  <wp:extent cx="3232800" cy="2667600"/>
                  <wp:effectExtent l="0" t="0" r="5715" b="0"/>
                  <wp:wrapThrough wrapText="bothSides">
                    <wp:wrapPolygon edited="0">
                      <wp:start x="0" y="0"/>
                      <wp:lineTo x="0" y="21446"/>
                      <wp:lineTo x="21511" y="21446"/>
                      <wp:lineTo x="21511" y="0"/>
                      <wp:lineTo x="0" y="0"/>
                    </wp:wrapPolygon>
                  </wp:wrapThrough>
                  <wp:docPr id="10" name="Chart 10">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5219" w:type="dxa"/>
          </w:tcPr>
          <w:p w:rsidR="00AF4337" w:rsidRDefault="00537F75" w:rsidP="00AF4337">
            <w:pPr>
              <w:spacing w:line="276" w:lineRule="auto"/>
              <w:jc w:val="both"/>
              <w:rPr>
                <w:rFonts w:ascii="Sylfaen" w:hAnsi="Sylfaen" w:cs="Segoe UI"/>
                <w:sz w:val="20"/>
                <w:szCs w:val="20"/>
                <w:lang w:val="ka-GE"/>
              </w:rPr>
            </w:pPr>
            <w:r>
              <w:rPr>
                <w:noProof/>
              </w:rPr>
              <w:drawing>
                <wp:anchor distT="0" distB="0" distL="114300" distR="114300" simplePos="0" relativeHeight="251670528" behindDoc="0" locked="0" layoutInCell="1" allowOverlap="1" wp14:anchorId="2B479363" wp14:editId="2F129CEF">
                  <wp:simplePos x="0" y="0"/>
                  <wp:positionH relativeFrom="column">
                    <wp:posOffset>-6822</wp:posOffset>
                  </wp:positionH>
                  <wp:positionV relativeFrom="paragraph">
                    <wp:posOffset>34186</wp:posOffset>
                  </wp:positionV>
                  <wp:extent cx="3232800" cy="2667600"/>
                  <wp:effectExtent l="0" t="0" r="5715" b="0"/>
                  <wp:wrapThrough wrapText="bothSides">
                    <wp:wrapPolygon edited="0">
                      <wp:start x="0" y="0"/>
                      <wp:lineTo x="0" y="21446"/>
                      <wp:lineTo x="21511" y="21446"/>
                      <wp:lineTo x="21511" y="0"/>
                      <wp:lineTo x="0" y="0"/>
                    </wp:wrapPolygon>
                  </wp:wrapThrough>
                  <wp:docPr id="11" name="Chart 1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tc>
      </w:tr>
      <w:tr w:rsidR="00AF4337" w:rsidTr="004E77CF">
        <w:tc>
          <w:tcPr>
            <w:tcW w:w="5218" w:type="dxa"/>
          </w:tcPr>
          <w:p w:rsidR="00AF4337" w:rsidRDefault="00537F75" w:rsidP="00AF4337">
            <w:pPr>
              <w:spacing w:line="276" w:lineRule="auto"/>
              <w:jc w:val="both"/>
              <w:rPr>
                <w:noProof/>
              </w:rPr>
            </w:pPr>
            <w:r>
              <w:rPr>
                <w:noProof/>
              </w:rPr>
              <w:drawing>
                <wp:anchor distT="0" distB="0" distL="114300" distR="114300" simplePos="0" relativeHeight="251672576" behindDoc="0" locked="0" layoutInCell="1" allowOverlap="1" wp14:anchorId="3A27C0B5" wp14:editId="72BE9699">
                  <wp:simplePos x="0" y="0"/>
                  <wp:positionH relativeFrom="column">
                    <wp:posOffset>6498</wp:posOffset>
                  </wp:positionH>
                  <wp:positionV relativeFrom="paragraph">
                    <wp:posOffset>39266</wp:posOffset>
                  </wp:positionV>
                  <wp:extent cx="3232800" cy="2667600"/>
                  <wp:effectExtent l="0" t="0" r="5715" b="0"/>
                  <wp:wrapThrough wrapText="bothSides">
                    <wp:wrapPolygon edited="0">
                      <wp:start x="0" y="0"/>
                      <wp:lineTo x="0" y="21446"/>
                      <wp:lineTo x="21511" y="21446"/>
                      <wp:lineTo x="21511" y="0"/>
                      <wp:lineTo x="0" y="0"/>
                    </wp:wrapPolygon>
                  </wp:wrapThrough>
                  <wp:docPr id="12" name="Chart 1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tc>
        <w:tc>
          <w:tcPr>
            <w:tcW w:w="5219" w:type="dxa"/>
          </w:tcPr>
          <w:p w:rsidR="00AF4337" w:rsidRDefault="00537F75" w:rsidP="00AF4337">
            <w:pPr>
              <w:spacing w:line="276" w:lineRule="auto"/>
              <w:jc w:val="both"/>
              <w:rPr>
                <w:noProof/>
              </w:rPr>
            </w:pPr>
            <w:r>
              <w:rPr>
                <w:noProof/>
              </w:rPr>
              <w:drawing>
                <wp:anchor distT="0" distB="0" distL="114300" distR="114300" simplePos="0" relativeHeight="251674624" behindDoc="0" locked="0" layoutInCell="1" allowOverlap="1" wp14:anchorId="7C7D5D9A" wp14:editId="2FAD490B">
                  <wp:simplePos x="0" y="0"/>
                  <wp:positionH relativeFrom="column">
                    <wp:posOffset>-68530</wp:posOffset>
                  </wp:positionH>
                  <wp:positionV relativeFrom="paragraph">
                    <wp:posOffset>20625</wp:posOffset>
                  </wp:positionV>
                  <wp:extent cx="3232800" cy="2667600"/>
                  <wp:effectExtent l="0" t="0" r="5715" b="0"/>
                  <wp:wrapThrough wrapText="bothSides">
                    <wp:wrapPolygon edited="0">
                      <wp:start x="0" y="0"/>
                      <wp:lineTo x="0" y="21446"/>
                      <wp:lineTo x="21511" y="21446"/>
                      <wp:lineTo x="21511" y="0"/>
                      <wp:lineTo x="0" y="0"/>
                    </wp:wrapPolygon>
                  </wp:wrapThrough>
                  <wp:docPr id="13" name="Chart 1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tc>
      </w:tr>
    </w:tbl>
    <w:p w:rsidR="00AF4337" w:rsidRDefault="007117FC" w:rsidP="007117FC">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D23BB8" w:rsidRPr="00C201A7" w:rsidRDefault="00D23BB8" w:rsidP="00D23BB8">
      <w:pPr>
        <w:spacing w:line="276" w:lineRule="auto"/>
        <w:ind w:firstLine="540"/>
        <w:jc w:val="both"/>
        <w:rPr>
          <w:rFonts w:ascii="Segoe UI" w:hAnsi="Segoe UI" w:cs="Segoe UI"/>
          <w:sz w:val="20"/>
          <w:szCs w:val="20"/>
        </w:rPr>
      </w:pPr>
      <w:r w:rsidRPr="00C201A7">
        <w:rPr>
          <w:rFonts w:ascii="Segoe UI" w:hAnsi="Segoe UI" w:cs="Segoe UI"/>
          <w:sz w:val="20"/>
          <w:szCs w:val="20"/>
          <w:lang w:val="ka-GE"/>
        </w:rPr>
        <w:t xml:space="preserve">საბაზისო სცენარის მიხედვით, 2021 წელს მიმდინარე ანგარიშის დეფიციტის შეფარდება მშპ-თან </w:t>
      </w:r>
      <w:r>
        <w:rPr>
          <w:rFonts w:ascii="Segoe UI" w:hAnsi="Segoe UI" w:cs="Segoe UI"/>
          <w:sz w:val="20"/>
          <w:szCs w:val="20"/>
          <w:lang w:val="ka-GE"/>
        </w:rPr>
        <w:t xml:space="preserve"> 9.0</w:t>
      </w:r>
      <w:r w:rsidRPr="00C201A7">
        <w:rPr>
          <w:rFonts w:ascii="Segoe UI" w:hAnsi="Segoe UI" w:cs="Segoe UI"/>
          <w:sz w:val="20"/>
          <w:szCs w:val="20"/>
          <w:lang w:val="ka-GE"/>
        </w:rPr>
        <w:t xml:space="preserve"> პროცენტს გაუტოლდება, რაც 3.</w:t>
      </w:r>
      <w:r>
        <w:rPr>
          <w:rFonts w:ascii="Segoe UI" w:hAnsi="Segoe UI" w:cs="Segoe UI"/>
          <w:sz w:val="20"/>
          <w:szCs w:val="20"/>
          <w:lang w:val="ka-GE"/>
        </w:rPr>
        <w:t>4</w:t>
      </w:r>
      <w:r w:rsidRPr="00C201A7">
        <w:rPr>
          <w:rFonts w:ascii="Segoe UI" w:hAnsi="Segoe UI" w:cs="Segoe UI"/>
          <w:sz w:val="20"/>
          <w:szCs w:val="20"/>
          <w:lang w:val="ka-GE"/>
        </w:rPr>
        <w:t xml:space="preserve"> პროცენტული პუნქტით ნაკლებია 2020 წლის მნიშვნელობაზე, თუმცა მნიშვნელოვნად აღემატება 2019 წლის დონეს. მომდევნო წლებში მოსალოდნელია, რომ მიმდინარე ანგარიშის დეფიციტის კლება გაგრძელდება და 2025 წლისთვის დაახლოებით 2019 წლის ნიშნულს დაუბრუნდება და  მშპ-ს 5.</w:t>
      </w:r>
      <w:r w:rsidR="00F81CC8">
        <w:rPr>
          <w:rFonts w:ascii="Segoe UI" w:hAnsi="Segoe UI" w:cs="Segoe UI"/>
          <w:sz w:val="20"/>
          <w:szCs w:val="20"/>
          <w:lang w:val="ka-GE"/>
        </w:rPr>
        <w:t>4</w:t>
      </w:r>
      <w:r w:rsidRPr="00C201A7">
        <w:rPr>
          <w:rFonts w:ascii="Segoe UI" w:hAnsi="Segoe UI" w:cs="Segoe UI"/>
          <w:sz w:val="20"/>
          <w:szCs w:val="20"/>
          <w:lang w:val="ka-GE"/>
        </w:rPr>
        <w:t xml:space="preserve"> პროცენტს გაუტოლდება. </w:t>
      </w:r>
    </w:p>
    <w:p w:rsidR="00D23BB8" w:rsidRPr="00C201A7" w:rsidRDefault="00D23BB8" w:rsidP="00D23BB8">
      <w:pPr>
        <w:spacing w:line="276" w:lineRule="auto"/>
        <w:ind w:firstLine="540"/>
        <w:jc w:val="both"/>
        <w:rPr>
          <w:rFonts w:ascii="Segoe UI" w:hAnsi="Segoe UI" w:cs="Segoe UI"/>
          <w:sz w:val="20"/>
          <w:szCs w:val="20"/>
          <w:lang w:val="ka-GE"/>
        </w:rPr>
      </w:pPr>
      <w:r w:rsidRPr="00C201A7">
        <w:rPr>
          <w:rFonts w:ascii="Segoe UI" w:hAnsi="Segoe UI" w:cs="Segoe UI"/>
          <w:sz w:val="20"/>
          <w:szCs w:val="20"/>
          <w:lang w:val="ka-GE"/>
        </w:rPr>
        <w:t xml:space="preserve">მიუხედავად ზრდის ტენდენციისა 2021 წლის </w:t>
      </w:r>
      <w:r w:rsidR="00F81CC8" w:rsidRPr="00C201A7">
        <w:rPr>
          <w:rFonts w:ascii="Segoe UI" w:hAnsi="Segoe UI" w:cs="Segoe UI"/>
          <w:sz w:val="20"/>
          <w:szCs w:val="20"/>
          <w:lang w:val="ka-GE"/>
        </w:rPr>
        <w:t>იანვარ-</w:t>
      </w:r>
      <w:r w:rsidR="00F81CC8">
        <w:rPr>
          <w:rFonts w:ascii="Segoe UI" w:hAnsi="Segoe UI" w:cs="Segoe UI"/>
          <w:sz w:val="20"/>
          <w:szCs w:val="20"/>
          <w:lang w:val="ka-GE"/>
        </w:rPr>
        <w:t>სექტემბერში</w:t>
      </w:r>
      <w:r w:rsidR="00F81CC8" w:rsidRPr="00C201A7">
        <w:rPr>
          <w:rFonts w:ascii="Segoe UI" w:hAnsi="Segoe UI" w:cs="Segoe UI"/>
          <w:sz w:val="20"/>
          <w:szCs w:val="20"/>
          <w:lang w:val="ka-GE"/>
        </w:rPr>
        <w:t xml:space="preserve">, </w:t>
      </w:r>
      <w:r w:rsidRPr="00C201A7">
        <w:rPr>
          <w:rFonts w:ascii="Segoe UI" w:hAnsi="Segoe UI" w:cs="Segoe UI"/>
          <w:sz w:val="20"/>
          <w:szCs w:val="20"/>
          <w:lang w:val="ka-GE"/>
        </w:rPr>
        <w:t>ტურიზმი კვლავ მნიშვნელოვნად ჩამოუვარდება პანდემიამდელ მაჩვენებელს და 2019 წლის ანალოგიური პერიოდის 1/3-ის დონეზეა. საბაზისო სცენარში მოსალოდნელია ტურიზმის ეტაპობრივი აღდგენა.</w:t>
      </w:r>
    </w:p>
    <w:p w:rsidR="007117FC" w:rsidRPr="007117FC" w:rsidRDefault="00D23BB8" w:rsidP="00D23BB8">
      <w:pPr>
        <w:rPr>
          <w:rFonts w:ascii="Sylfaen" w:hAnsi="Sylfaen"/>
          <w:lang w:val="ka-GE"/>
        </w:rPr>
      </w:pPr>
      <w:r w:rsidRPr="00C201A7">
        <w:rPr>
          <w:rFonts w:ascii="Segoe UI" w:hAnsi="Segoe UI" w:cs="Segoe UI"/>
          <w:sz w:val="20"/>
          <w:szCs w:val="20"/>
          <w:lang w:val="ka-GE"/>
        </w:rPr>
        <w:t>202</w:t>
      </w:r>
      <w:r w:rsidRPr="00C201A7">
        <w:rPr>
          <w:rFonts w:ascii="Segoe UI" w:hAnsi="Segoe UI" w:cs="Segoe UI"/>
          <w:sz w:val="20"/>
          <w:szCs w:val="20"/>
        </w:rPr>
        <w:t>1</w:t>
      </w:r>
      <w:r w:rsidRPr="00C201A7">
        <w:rPr>
          <w:rFonts w:ascii="Segoe UI" w:hAnsi="Segoe UI" w:cs="Segoe UI"/>
          <w:sz w:val="20"/>
          <w:szCs w:val="20"/>
          <w:lang w:val="ka-GE"/>
        </w:rPr>
        <w:t xml:space="preserve"> წელს ექსპორტი იწყებს აღდგენას და დოლარით გამოსახული საქონლის ექსპორტის ზრდა მოსალოდნელია </w:t>
      </w:r>
      <w:r w:rsidR="00F81CC8">
        <w:rPr>
          <w:rFonts w:ascii="Segoe UI" w:hAnsi="Segoe UI" w:cs="Segoe UI"/>
          <w:sz w:val="20"/>
          <w:szCs w:val="20"/>
          <w:lang w:val="ka-GE"/>
        </w:rPr>
        <w:t>20.5</w:t>
      </w:r>
      <w:r w:rsidRPr="00C201A7">
        <w:rPr>
          <w:rFonts w:ascii="Segoe UI" w:hAnsi="Segoe UI" w:cs="Segoe UI"/>
          <w:sz w:val="20"/>
          <w:szCs w:val="20"/>
          <w:lang w:val="ka-GE"/>
        </w:rPr>
        <w:t xml:space="preserve"> პროცენტით, ხოლო 2022 წლიდან საშუალოდ 9.9 პროცენტით გაიზრდება. რაც შეეხება საქონლის რეალური ექსპორტის ცვლილებას, 2020 წელს არსებული კლების შემდეგ, 2021 წელს მოსალოდნელია </w:t>
      </w:r>
      <w:r w:rsidR="00F81CC8">
        <w:rPr>
          <w:rFonts w:ascii="Segoe UI" w:hAnsi="Segoe UI" w:cs="Segoe UI"/>
          <w:sz w:val="20"/>
          <w:szCs w:val="20"/>
          <w:lang w:val="ka-GE"/>
        </w:rPr>
        <w:t>17</w:t>
      </w:r>
      <w:r w:rsidRPr="00C201A7">
        <w:rPr>
          <w:rFonts w:ascii="Segoe UI" w:hAnsi="Segoe UI" w:cs="Segoe UI"/>
          <w:sz w:val="20"/>
          <w:szCs w:val="20"/>
          <w:lang w:val="ka-GE"/>
        </w:rPr>
        <w:t xml:space="preserve"> პროცენტიანი ზრდა  და </w:t>
      </w:r>
      <w:r w:rsidR="00F81CC8">
        <w:rPr>
          <w:rFonts w:ascii="Segoe UI" w:hAnsi="Segoe UI" w:cs="Segoe UI"/>
          <w:sz w:val="20"/>
          <w:szCs w:val="20"/>
          <w:lang w:val="ka-GE"/>
        </w:rPr>
        <w:t>4.5</w:t>
      </w:r>
      <w:r w:rsidRPr="00C201A7">
        <w:rPr>
          <w:rFonts w:ascii="Segoe UI" w:hAnsi="Segoe UI" w:cs="Segoe UI"/>
          <w:sz w:val="20"/>
          <w:szCs w:val="20"/>
          <w:lang w:val="ka-GE"/>
        </w:rPr>
        <w:t xml:space="preserve"> პროცენტიანი ზრდა 2022 წელს. თუმცა, საშუალოვადიან პერიოდში სუსტი საგარეო მოთხოვნის ფონზე ექსპორტის ზრდაც შენელებული იქნება. უნდა აღინიშნოს, რომ ძირითადი წვლილი შემცირებაში რეექსპორტს უჭირავს, რომლის ძირითადი ნაწილი ავტომობილებზე მოდის. შესაბამისად, საშუალოვადიან პერიოდში შემოსავლების შემცირების ფონზე „ფუფუნების საგნებზე“ მოთხოვნა კვლავაც სუსტი დარჩება.</w:t>
      </w:r>
    </w:p>
    <w:p w:rsidR="00AF4337" w:rsidRPr="00D4297E" w:rsidRDefault="00AF4337" w:rsidP="00AF4337">
      <w:pPr>
        <w:pStyle w:val="Heading2"/>
      </w:pPr>
      <w:r>
        <w:t xml:space="preserve"> </w:t>
      </w:r>
      <w:r w:rsidRPr="00D4297E">
        <w:t>ნეგატიური</w:t>
      </w:r>
      <w:r w:rsidRPr="006A04A6">
        <w:t xml:space="preserve"> </w:t>
      </w:r>
      <w:r w:rsidRPr="00D4297E">
        <w:t xml:space="preserve">სცენარი </w:t>
      </w:r>
    </w:p>
    <w:p w:rsidR="00AF4337" w:rsidRPr="00C94F9E" w:rsidRDefault="00AF4337" w:rsidP="00AF4337">
      <w:pPr>
        <w:ind w:firstLine="720"/>
        <w:jc w:val="both"/>
        <w:rPr>
          <w:rFonts w:ascii="Segoe UI" w:hAnsi="Segoe UI" w:cs="Segoe UI"/>
          <w:sz w:val="18"/>
          <w:szCs w:val="20"/>
          <w:lang w:val="ka-GE"/>
        </w:rPr>
      </w:pPr>
      <w:r w:rsidRPr="00C94F9E">
        <w:rPr>
          <w:rFonts w:ascii="Segoe UI" w:hAnsi="Segoe UI" w:cs="Segoe UI"/>
          <w:sz w:val="20"/>
          <w:szCs w:val="20"/>
          <w:lang w:val="ka-GE"/>
        </w:rPr>
        <w:t>ნეგატიური სცენარი გულისხმობს რისკების მაღალი მასშტაბით/ალბათობით რეალიზებას. ნეგატიური სცენარი ითვალისწინებს საბაზისოსთან შედარებით ერთ</w:t>
      </w:r>
      <w:r w:rsidR="00610068">
        <w:rPr>
          <w:rFonts w:ascii="Segoe UI" w:hAnsi="Segoe UI" w:cs="Segoe UI"/>
          <w:sz w:val="20"/>
          <w:szCs w:val="20"/>
          <w:lang w:val="ka-GE"/>
        </w:rPr>
        <w:t>ო</w:t>
      </w:r>
      <w:r w:rsidRPr="00C94F9E">
        <w:rPr>
          <w:rFonts w:ascii="Segoe UI" w:hAnsi="Segoe UI" w:cs="Segoe UI"/>
          <w:sz w:val="20"/>
          <w:szCs w:val="20"/>
          <w:lang w:val="ka-GE"/>
        </w:rPr>
        <w:t xml:space="preserve">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sidRPr="00C94F9E">
        <w:rPr>
          <w:rFonts w:ascii="Segoe UI" w:hAnsi="Segoe UI" w:cs="Segoe UI"/>
          <w:sz w:val="20"/>
          <w:szCs w:val="20"/>
          <w:lang w:val="ka-GE"/>
        </w:rPr>
        <w:t xml:space="preserve">უფრო მეტი სიმძლავრით </w:t>
      </w:r>
      <w:r w:rsidRPr="00C94F9E">
        <w:rPr>
          <w:rFonts w:ascii="Segoe UI" w:hAnsi="Segoe UI" w:cs="Segoe UI"/>
          <w:sz w:val="20"/>
          <w:szCs w:val="20"/>
          <w:lang w:val="ka-GE"/>
        </w:rPr>
        <w:t xml:space="preserve">მატერიალიზაციას. ამასთან, ტურიზმზე მოთხოვნა სუსტი დარჩება მომდევნო წლებშიც. 2021 წელს ეკონომიკური ზრდა  </w:t>
      </w:r>
      <w:r w:rsidR="007065A7" w:rsidRPr="00C94F9E">
        <w:rPr>
          <w:rFonts w:ascii="Segoe UI" w:hAnsi="Segoe UI" w:cs="Segoe UI"/>
          <w:sz w:val="20"/>
          <w:szCs w:val="20"/>
          <w:lang w:val="ka-GE"/>
        </w:rPr>
        <w:t>9.</w:t>
      </w:r>
      <w:r w:rsidR="00F81CC8">
        <w:rPr>
          <w:rFonts w:ascii="Segoe UI" w:hAnsi="Segoe UI" w:cs="Segoe UI"/>
          <w:sz w:val="20"/>
          <w:szCs w:val="20"/>
          <w:lang w:val="ka-GE"/>
        </w:rPr>
        <w:t>5</w:t>
      </w:r>
      <w:r w:rsidRPr="00C94F9E">
        <w:rPr>
          <w:rFonts w:ascii="Segoe UI" w:hAnsi="Segoe UI" w:cs="Segoe UI"/>
          <w:sz w:val="20"/>
          <w:szCs w:val="20"/>
          <w:lang w:val="ka-GE"/>
        </w:rPr>
        <w:t xml:space="preserve"> პროცენტის დონეზეა პროგნოზირებული, ხოლო 2022 წელს - </w:t>
      </w:r>
      <w:r w:rsidR="007065A7" w:rsidRPr="00C94F9E">
        <w:rPr>
          <w:rFonts w:ascii="Segoe UI" w:hAnsi="Segoe UI" w:cs="Segoe UI"/>
          <w:sz w:val="20"/>
          <w:szCs w:val="20"/>
          <w:lang w:val="ka-GE"/>
        </w:rPr>
        <w:t>4.1</w:t>
      </w:r>
      <w:r w:rsidRPr="00C94F9E">
        <w:rPr>
          <w:rFonts w:ascii="Segoe UI" w:hAnsi="Segoe UI" w:cs="Segoe UI"/>
          <w:sz w:val="20"/>
          <w:szCs w:val="20"/>
          <w:lang w:val="ka-GE"/>
        </w:rPr>
        <w:t xml:space="preserve"> პროცენტზე. რაც შეეხება საშუალოვადიან პერიოდს, 2022-2025 წლებში ეკონომიკა საშუალოდ მხოლოდ </w:t>
      </w:r>
      <w:r w:rsidR="007065A7" w:rsidRPr="00C94F9E">
        <w:rPr>
          <w:rFonts w:ascii="Segoe UI" w:hAnsi="Segoe UI" w:cs="Segoe UI"/>
          <w:sz w:val="20"/>
          <w:szCs w:val="20"/>
          <w:lang w:val="ka-GE"/>
        </w:rPr>
        <w:t>3.9</w:t>
      </w:r>
      <w:r w:rsidRPr="00C94F9E">
        <w:rPr>
          <w:rFonts w:ascii="Segoe UI" w:hAnsi="Segoe UI" w:cs="Segoe UI"/>
          <w:sz w:val="20"/>
          <w:szCs w:val="20"/>
          <w:lang w:val="ka-GE"/>
        </w:rPr>
        <w:t xml:space="preserve"> პროცენტით იზრდება. ეკონომიკური ზრდის განგრძობადი შემცირება უკაშირდება რეგიონის  2014-2016 წლების ანალოგიურ კრიზისში შესვლას, ხოლო მსოფლიოში ფისკალური კონსოლოდაციის პროცესების ფონზე შემცირებულ ერთობლივ მო</w:t>
      </w:r>
      <w:r w:rsidR="007065A7" w:rsidRPr="00C94F9E">
        <w:rPr>
          <w:rFonts w:ascii="Segoe UI" w:hAnsi="Segoe UI" w:cs="Segoe UI"/>
          <w:sz w:val="20"/>
          <w:szCs w:val="20"/>
          <w:lang w:val="ka-GE"/>
        </w:rPr>
        <w:t>თ</w:t>
      </w:r>
      <w:r w:rsidRPr="00C94F9E">
        <w:rPr>
          <w:rFonts w:ascii="Segoe UI" w:hAnsi="Segoe UI" w:cs="Segoe UI"/>
          <w:sz w:val="20"/>
          <w:szCs w:val="20"/>
          <w:lang w:val="ka-GE"/>
        </w:rPr>
        <w:t>ხოვნას.</w:t>
      </w:r>
    </w:p>
    <w:p w:rsidR="00C94F9E" w:rsidRPr="00C94F9E" w:rsidRDefault="00AF4337" w:rsidP="00B73DEE">
      <w:pPr>
        <w:ind w:firstLine="720"/>
        <w:jc w:val="both"/>
        <w:rPr>
          <w:rFonts w:ascii="Segoe UI" w:hAnsi="Segoe UI" w:cs="Segoe UI"/>
          <w:lang w:val="ka-GE"/>
        </w:rPr>
      </w:pPr>
      <w:r w:rsidRPr="00C94F9E">
        <w:rPr>
          <w:rFonts w:ascii="Segoe UI" w:hAnsi="Segoe UI" w:cs="Segoe UI"/>
          <w:sz w:val="20"/>
          <w:lang w:val="ka-GE"/>
        </w:rPr>
        <w:t>აღნიშნული</w:t>
      </w:r>
      <w:r w:rsidRPr="00C94F9E">
        <w:rPr>
          <w:rFonts w:ascii="Segoe UI" w:hAnsi="Segoe UI" w:cs="Segoe UI"/>
          <w:sz w:val="20"/>
        </w:rPr>
        <w:t xml:space="preserve"> სცენარი </w:t>
      </w:r>
      <w:r w:rsidR="00C94F9E" w:rsidRPr="00C94F9E">
        <w:rPr>
          <w:rFonts w:ascii="Segoe UI" w:hAnsi="Segoe UI" w:cs="Segoe UI"/>
          <w:sz w:val="20"/>
        </w:rPr>
        <w:t xml:space="preserve">ითვალისწინებს უფრო </w:t>
      </w:r>
      <w:r w:rsidRPr="00C94F9E">
        <w:rPr>
          <w:rFonts w:ascii="Segoe UI" w:hAnsi="Segoe UI" w:cs="Segoe UI"/>
          <w:sz w:val="20"/>
        </w:rPr>
        <w:t>მძიმე ეპიდ</w:t>
      </w:r>
      <w:r w:rsidR="00F17ADE">
        <w:rPr>
          <w:rFonts w:ascii="Segoe UI" w:hAnsi="Segoe UI" w:cs="Segoe UI"/>
          <w:sz w:val="20"/>
          <w:lang w:val="ka-GE"/>
        </w:rPr>
        <w:t>ე</w:t>
      </w:r>
      <w:r w:rsidRPr="00C94F9E">
        <w:rPr>
          <w:rFonts w:ascii="Segoe UI" w:hAnsi="Segoe UI" w:cs="Segoe UI"/>
          <w:sz w:val="20"/>
        </w:rPr>
        <w:t xml:space="preserve">მიოლოგიურ პირობებს და ეყრდნობა დაშვებას, რომ ეპიდემიოლოგიური მდგომარეობა </w:t>
      </w:r>
      <w:r w:rsidR="00B028F0" w:rsidRPr="00C94F9E">
        <w:rPr>
          <w:rFonts w:ascii="Segoe UI" w:hAnsi="Segoe UI" w:cs="Segoe UI"/>
          <w:sz w:val="20"/>
          <w:lang w:val="ka-GE"/>
        </w:rPr>
        <w:t>შესაძლოა გარკვეულწილად კვლავ გამწვავ</w:t>
      </w:r>
      <w:r w:rsidR="00610068">
        <w:rPr>
          <w:rFonts w:ascii="Segoe UI" w:hAnsi="Segoe UI" w:cs="Segoe UI"/>
          <w:sz w:val="20"/>
          <w:lang w:val="ka-GE"/>
        </w:rPr>
        <w:t>დ</w:t>
      </w:r>
      <w:r w:rsidR="00B028F0" w:rsidRPr="00C94F9E">
        <w:rPr>
          <w:rFonts w:ascii="Segoe UI" w:hAnsi="Segoe UI" w:cs="Segoe UI"/>
          <w:sz w:val="20"/>
          <w:lang w:val="ka-GE"/>
        </w:rPr>
        <w:t xml:space="preserve">ეს, </w:t>
      </w:r>
      <w:r w:rsidRPr="00C94F9E">
        <w:rPr>
          <w:rFonts w:ascii="Segoe UI" w:hAnsi="Segoe UI" w:cs="Segoe UI"/>
          <w:sz w:val="20"/>
        </w:rPr>
        <w:t xml:space="preserve">რის გამოც </w:t>
      </w:r>
      <w:r w:rsidRPr="00C94F9E">
        <w:rPr>
          <w:rFonts w:ascii="Segoe UI" w:hAnsi="Segoe UI" w:cs="Segoe UI"/>
          <w:sz w:val="20"/>
          <w:lang w:val="ka-GE"/>
        </w:rPr>
        <w:t xml:space="preserve">2021 </w:t>
      </w:r>
      <w:r w:rsidR="00C94F9E" w:rsidRPr="00C94F9E">
        <w:rPr>
          <w:rFonts w:ascii="Segoe UI" w:hAnsi="Segoe UI" w:cs="Segoe UI"/>
          <w:sz w:val="20"/>
          <w:lang w:val="ka-GE"/>
        </w:rPr>
        <w:t xml:space="preserve">წლის ბოლოს და 2022 წლის დასაწყისში </w:t>
      </w:r>
      <w:r w:rsidRPr="00C94F9E">
        <w:rPr>
          <w:rFonts w:ascii="Segoe UI" w:hAnsi="Segoe UI" w:cs="Segoe UI"/>
          <w:sz w:val="20"/>
        </w:rPr>
        <w:t>საჭირო გახდება მკაცრი რეჟიმის შენარჩუნება/შემდგომი გამკაცრება.</w:t>
      </w:r>
      <w:r w:rsidRPr="00C94F9E">
        <w:rPr>
          <w:rFonts w:ascii="Segoe UI" w:hAnsi="Segoe UI" w:cs="Segoe UI"/>
          <w:sz w:val="20"/>
          <w:lang w:val="ka-GE"/>
        </w:rPr>
        <w:t xml:space="preserve"> </w:t>
      </w:r>
    </w:p>
    <w:p w:rsidR="00AF4337" w:rsidRPr="00C94F9E" w:rsidRDefault="00C94F9E" w:rsidP="00C94F9E">
      <w:pPr>
        <w:pStyle w:val="Caption"/>
        <w:rPr>
          <w:rFonts w:cstheme="minorHAnsi"/>
        </w:rPr>
      </w:pPr>
      <w:r w:rsidRPr="00C94F9E">
        <w:rPr>
          <w:rFonts w:ascii="Segoe UI" w:hAnsi="Segoe UI" w:cs="Segoe UI"/>
          <w:i w:val="0"/>
          <w:iCs w:val="0"/>
        </w:rPr>
        <w:t xml:space="preserve">დიაგრამა </w:t>
      </w:r>
      <w:r w:rsidRPr="00C94F9E">
        <w:rPr>
          <w:rFonts w:ascii="Segoe UI" w:hAnsi="Segoe UI" w:cs="Segoe UI"/>
          <w:i w:val="0"/>
          <w:iCs w:val="0"/>
          <w:lang w:val="ka-GE"/>
        </w:rPr>
        <w:t>7</w:t>
      </w:r>
      <w:r w:rsidRPr="00C94F9E">
        <w:rPr>
          <w:rFonts w:ascii="Segoe UI" w:hAnsi="Segoe UI" w:cs="Segoe UI"/>
          <w:i w:val="0"/>
          <w:iCs w:val="0"/>
          <w:noProof/>
        </w:rPr>
        <w:t>:</w:t>
      </w:r>
      <w:r w:rsidRPr="00C94F9E">
        <w:rPr>
          <w:rFonts w:ascii="Segoe UI" w:hAnsi="Segoe UI" w:cs="Segoe UI"/>
          <w:i w:val="0"/>
          <w:iCs w:val="0"/>
          <w:lang w:val="ka-GE"/>
        </w:rPr>
        <w:t xml:space="preserve"> ეკონომიკური ზრდა ნეგატიურ სცენარში</w:t>
      </w:r>
      <w:r w:rsidR="00AF4337">
        <w:rPr>
          <w:rFonts w:ascii="Sylfaen" w:hAnsi="Sylfaen"/>
          <w:lang w:val="ka-GE"/>
        </w:rPr>
        <w:br/>
      </w:r>
      <w:r w:rsidR="00945FBC">
        <w:rPr>
          <w:noProof/>
        </w:rPr>
        <w:drawing>
          <wp:anchor distT="0" distB="0" distL="114300" distR="114300" simplePos="0" relativeHeight="251676672" behindDoc="0" locked="0" layoutInCell="1" allowOverlap="1" wp14:anchorId="35E341C1" wp14:editId="2828ABBC">
            <wp:simplePos x="0" y="0"/>
            <wp:positionH relativeFrom="column">
              <wp:posOffset>0</wp:posOffset>
            </wp:positionH>
            <wp:positionV relativeFrom="paragraph">
              <wp:posOffset>410845</wp:posOffset>
            </wp:positionV>
            <wp:extent cx="6602400" cy="2160000"/>
            <wp:effectExtent l="0" t="0" r="8255"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AF4337" w:rsidRPr="00311A14" w:rsidRDefault="00C94F9E" w:rsidP="00311A14">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AF4337" w:rsidRDefault="00AF4337" w:rsidP="00AF4337">
      <w:pPr>
        <w:spacing w:after="0" w:line="276" w:lineRule="auto"/>
        <w:ind w:firstLine="540"/>
        <w:jc w:val="both"/>
        <w:rPr>
          <w:rFonts w:ascii="Sylfaen" w:hAnsi="Sylfaen" w:cs="Segoe UI"/>
          <w:sz w:val="20"/>
          <w:szCs w:val="20"/>
          <w:lang w:val="ka-GE"/>
        </w:rPr>
      </w:pPr>
    </w:p>
    <w:p w:rsidR="00D23BB8" w:rsidRPr="00194344" w:rsidRDefault="00D23BB8" w:rsidP="00AF4337">
      <w:pPr>
        <w:spacing w:after="0" w:line="276" w:lineRule="auto"/>
        <w:ind w:firstLine="540"/>
        <w:jc w:val="both"/>
        <w:rPr>
          <w:rFonts w:ascii="Sylfaen" w:hAnsi="Sylfaen" w:cs="Segoe UI"/>
          <w:sz w:val="20"/>
          <w:szCs w:val="20"/>
          <w:lang w:val="ka-GE"/>
        </w:rPr>
      </w:pPr>
    </w:p>
    <w:p w:rsidR="00AF4337" w:rsidRPr="006A04A6" w:rsidRDefault="00AF4337" w:rsidP="00AF4337">
      <w:pPr>
        <w:pStyle w:val="Heading2"/>
        <w:rPr>
          <w:lang w:val="en-US"/>
        </w:rPr>
      </w:pPr>
      <w:r>
        <w:rPr>
          <w:lang w:val="en-US"/>
        </w:rPr>
        <w:t xml:space="preserve"> </w:t>
      </w:r>
      <w:r w:rsidRPr="006A04A6">
        <w:rPr>
          <w:lang w:val="en-US"/>
        </w:rPr>
        <w:t>პოზიტიური სცენარი</w:t>
      </w:r>
    </w:p>
    <w:p w:rsidR="00AF4337" w:rsidRPr="002357A5" w:rsidRDefault="00AF4337" w:rsidP="00B73DEE">
      <w:pPr>
        <w:spacing w:after="0" w:line="276" w:lineRule="auto"/>
        <w:ind w:firstLine="720"/>
        <w:jc w:val="both"/>
        <w:rPr>
          <w:rFonts w:ascii="Segoe UI" w:hAnsi="Segoe UI" w:cs="Segoe UI"/>
          <w:sz w:val="20"/>
          <w:szCs w:val="20"/>
          <w:lang w:val="ka-GE"/>
        </w:rPr>
      </w:pPr>
      <w:r w:rsidRPr="002357A5">
        <w:rPr>
          <w:rFonts w:ascii="Segoe UI" w:hAnsi="Segoe UI" w:cs="Segoe UI"/>
          <w:sz w:val="20"/>
          <w:szCs w:val="20"/>
          <w:lang w:val="ka-GE"/>
        </w:rPr>
        <w:t xml:space="preserve">პოზიტიური სცენარის მიხედვით, მეოთხე თავში აღნიშნული გეოპოლიტიკური და რეგიონალური რისკები დამატებით არ მატერიალიზდება. თუმცა, გაზრდილი გლობალური ვალის და მომხმარებელთა ქცევის რისკები რეალიზდება შედარებით შესუსტებული სიდიდით. ასეთ სცენარში, 2021 წლის ეკონომიკური ზრდა </w:t>
      </w:r>
      <w:r w:rsidR="00721036" w:rsidRPr="002357A5">
        <w:rPr>
          <w:rFonts w:ascii="Segoe UI" w:hAnsi="Segoe UI" w:cs="Segoe UI"/>
          <w:sz w:val="20"/>
          <w:szCs w:val="20"/>
          <w:lang w:val="ka-GE"/>
        </w:rPr>
        <w:t>10.</w:t>
      </w:r>
      <w:r w:rsidR="00F81CC8">
        <w:rPr>
          <w:rFonts w:ascii="Segoe UI" w:hAnsi="Segoe UI" w:cs="Segoe UI"/>
          <w:sz w:val="20"/>
          <w:szCs w:val="20"/>
          <w:lang w:val="ka-GE"/>
        </w:rPr>
        <w:t>8</w:t>
      </w:r>
      <w:r w:rsidRPr="002357A5">
        <w:rPr>
          <w:rFonts w:ascii="Segoe UI" w:hAnsi="Segoe UI" w:cs="Segoe UI"/>
          <w:sz w:val="20"/>
          <w:szCs w:val="20"/>
          <w:lang w:val="ka-GE"/>
        </w:rPr>
        <w:t xml:space="preserve"> პროცენტს შეადგენს, ხოლო 2022 წელს </w:t>
      </w:r>
      <w:r w:rsidR="00721036" w:rsidRPr="002357A5">
        <w:rPr>
          <w:rFonts w:ascii="Segoe UI" w:hAnsi="Segoe UI" w:cs="Segoe UI"/>
          <w:sz w:val="20"/>
          <w:szCs w:val="20"/>
          <w:lang w:val="ka-GE"/>
        </w:rPr>
        <w:t>6.3</w:t>
      </w:r>
      <w:r w:rsidRPr="002357A5">
        <w:rPr>
          <w:rFonts w:ascii="Segoe UI" w:hAnsi="Segoe UI" w:cs="Segoe UI"/>
          <w:sz w:val="20"/>
          <w:szCs w:val="20"/>
          <w:lang w:val="ka-GE"/>
        </w:rPr>
        <w:t xml:space="preserve"> პროცენტიანი ზრდა იქნება.  რაც შეეხება საშუალოვადიან პერიოდს, 2022-2025 წლებში ზრდა საშუალოდ </w:t>
      </w:r>
      <w:r w:rsidR="00721036" w:rsidRPr="002357A5">
        <w:rPr>
          <w:rFonts w:ascii="Segoe UI" w:hAnsi="Segoe UI" w:cs="Segoe UI"/>
          <w:sz w:val="20"/>
          <w:szCs w:val="20"/>
          <w:lang w:val="ka-GE"/>
        </w:rPr>
        <w:t>5.7</w:t>
      </w:r>
      <w:r w:rsidRPr="002357A5">
        <w:rPr>
          <w:rFonts w:ascii="Segoe UI" w:hAnsi="Segoe UI" w:cs="Segoe UI"/>
          <w:sz w:val="20"/>
          <w:szCs w:val="20"/>
          <w:lang w:val="ka-GE"/>
        </w:rPr>
        <w:t xml:space="preserve"> პროცენტს შეადგენს. </w:t>
      </w:r>
    </w:p>
    <w:p w:rsidR="00AF4337" w:rsidRPr="002357A5" w:rsidRDefault="00AF4337" w:rsidP="00311A14">
      <w:pPr>
        <w:spacing w:after="0" w:line="276" w:lineRule="auto"/>
        <w:ind w:firstLine="720"/>
        <w:jc w:val="both"/>
        <w:rPr>
          <w:rFonts w:ascii="Segoe UI" w:hAnsi="Segoe UI" w:cs="Segoe UI"/>
          <w:sz w:val="20"/>
          <w:szCs w:val="20"/>
          <w:lang w:val="ka-GE"/>
        </w:rPr>
      </w:pPr>
      <w:r w:rsidRPr="002357A5">
        <w:rPr>
          <w:rFonts w:ascii="Segoe UI" w:hAnsi="Segoe UI" w:cs="Segoe UI"/>
          <w:sz w:val="20"/>
          <w:szCs w:val="20"/>
          <w:lang w:val="ka-GE"/>
        </w:rPr>
        <w:t xml:space="preserve">ოპტიმისტური სცენარის მიხედვით, </w:t>
      </w:r>
      <w:r w:rsidRPr="002357A5">
        <w:rPr>
          <w:rFonts w:ascii="Segoe UI" w:hAnsi="Segoe UI" w:cs="Segoe UI"/>
          <w:sz w:val="20"/>
          <w:szCs w:val="20"/>
        </w:rPr>
        <w:t>ეკონომიკური კრიზისი იქნება ლოკალიზებული ძირითადად ტურისტულ სექტორში და სხვა სე</w:t>
      </w:r>
      <w:r w:rsidRPr="002357A5">
        <w:rPr>
          <w:rFonts w:ascii="Segoe UI" w:hAnsi="Segoe UI" w:cs="Segoe UI"/>
          <w:sz w:val="20"/>
          <w:szCs w:val="20"/>
          <w:lang w:val="ka-GE"/>
        </w:rPr>
        <w:t>ქ</w:t>
      </w:r>
      <w:r w:rsidRPr="002357A5">
        <w:rPr>
          <w:rFonts w:ascii="Segoe UI" w:hAnsi="Segoe UI" w:cs="Segoe UI"/>
          <w:sz w:val="20"/>
          <w:szCs w:val="20"/>
        </w:rPr>
        <w:t>ტორებზე ნაკლებ გავლენას მოახდენს. ასეთ შემთხვევაში, ლიკვიდობის პრობლემები ეკონომიკის გაცილებით ნაკლებ ნაწილს მოიცავს და შესაბამისად, საგადასახადო შემოსავლებიც უკეთ გამოიყურება.</w:t>
      </w:r>
      <w:r w:rsidRPr="002357A5">
        <w:rPr>
          <w:rFonts w:ascii="Segoe UI" w:hAnsi="Segoe UI" w:cs="Segoe UI"/>
          <w:sz w:val="20"/>
          <w:szCs w:val="20"/>
          <w:lang w:val="ka-GE"/>
        </w:rPr>
        <w:t xml:space="preserve"> </w:t>
      </w:r>
    </w:p>
    <w:p w:rsidR="00311A14" w:rsidRPr="00311A14" w:rsidRDefault="00311A14" w:rsidP="00311A14">
      <w:pPr>
        <w:pStyle w:val="Caption"/>
        <w:rPr>
          <w:rFonts w:cstheme="minorHAnsi"/>
        </w:rPr>
      </w:pPr>
      <w:r w:rsidRPr="002357A5">
        <w:rPr>
          <w:rFonts w:ascii="Segoe UI" w:hAnsi="Segoe UI" w:cs="Segoe UI"/>
          <w:i w:val="0"/>
          <w:iCs w:val="0"/>
        </w:rPr>
        <w:t xml:space="preserve">დიაგრამა </w:t>
      </w:r>
      <w:r w:rsidRPr="002357A5">
        <w:rPr>
          <w:rFonts w:ascii="Segoe UI" w:hAnsi="Segoe UI" w:cs="Segoe UI"/>
          <w:i w:val="0"/>
          <w:iCs w:val="0"/>
          <w:lang w:val="ka-GE"/>
        </w:rPr>
        <w:t>8</w:t>
      </w:r>
      <w:r w:rsidRPr="002357A5">
        <w:rPr>
          <w:rFonts w:ascii="Segoe UI" w:hAnsi="Segoe UI" w:cs="Segoe UI"/>
          <w:i w:val="0"/>
          <w:iCs w:val="0"/>
          <w:noProof/>
        </w:rPr>
        <w:t>:</w:t>
      </w:r>
      <w:r w:rsidRPr="002357A5">
        <w:rPr>
          <w:rFonts w:ascii="Segoe UI" w:hAnsi="Segoe UI" w:cs="Segoe UI"/>
          <w:i w:val="0"/>
          <w:iCs w:val="0"/>
          <w:lang w:val="ka-GE"/>
        </w:rPr>
        <w:t xml:space="preserve"> ეკონომიკური ზრდა პოზიტიურ სცენარში</w:t>
      </w:r>
      <w:r>
        <w:rPr>
          <w:noProof/>
        </w:rPr>
        <w:drawing>
          <wp:anchor distT="0" distB="0" distL="114300" distR="114300" simplePos="0" relativeHeight="251666432" behindDoc="0" locked="0" layoutInCell="1" allowOverlap="1" wp14:anchorId="26B2C35C" wp14:editId="0AFA73C6">
            <wp:simplePos x="0" y="0"/>
            <wp:positionH relativeFrom="column">
              <wp:posOffset>-635</wp:posOffset>
            </wp:positionH>
            <wp:positionV relativeFrom="paragraph">
              <wp:posOffset>236855</wp:posOffset>
            </wp:positionV>
            <wp:extent cx="6602400" cy="2160000"/>
            <wp:effectExtent l="0" t="0" r="8255" b="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311A14" w:rsidRPr="00311A14" w:rsidRDefault="00311A14" w:rsidP="00311A14">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311A14" w:rsidRDefault="00311A14" w:rsidP="00311A14">
      <w:pPr>
        <w:spacing w:after="0" w:line="276" w:lineRule="auto"/>
        <w:ind w:firstLine="720"/>
        <w:jc w:val="both"/>
        <w:rPr>
          <w:rFonts w:ascii="Sylfaen" w:hAnsi="Sylfaen"/>
          <w:sz w:val="20"/>
          <w:szCs w:val="20"/>
          <w:lang w:val="ka-GE"/>
        </w:rPr>
      </w:pPr>
    </w:p>
    <w:p w:rsidR="00311A14" w:rsidRDefault="00311A14" w:rsidP="00311A14">
      <w:pPr>
        <w:spacing w:after="0" w:line="276" w:lineRule="auto"/>
        <w:ind w:firstLine="720"/>
        <w:jc w:val="both"/>
        <w:rPr>
          <w:rFonts w:ascii="Sylfaen" w:hAnsi="Sylfaen"/>
          <w:sz w:val="20"/>
          <w:szCs w:val="20"/>
          <w:lang w:val="ka-GE"/>
        </w:rPr>
      </w:pPr>
    </w:p>
    <w:p w:rsidR="00311A14" w:rsidRDefault="00311A14" w:rsidP="00311A14">
      <w:pPr>
        <w:spacing w:after="0" w:line="276" w:lineRule="auto"/>
        <w:ind w:firstLine="720"/>
        <w:jc w:val="both"/>
        <w:rPr>
          <w:rFonts w:ascii="Sylfaen" w:hAnsi="Sylfaen"/>
          <w:sz w:val="20"/>
          <w:szCs w:val="20"/>
          <w:lang w:val="ka-GE"/>
        </w:rPr>
      </w:pPr>
    </w:p>
    <w:p w:rsidR="00311A14" w:rsidRPr="00194344" w:rsidRDefault="00311A14" w:rsidP="00311A14">
      <w:pPr>
        <w:spacing w:after="0" w:line="276" w:lineRule="auto"/>
        <w:ind w:firstLine="720"/>
        <w:jc w:val="both"/>
        <w:rPr>
          <w:rFonts w:ascii="Sylfaen" w:hAnsi="Sylfaen" w:cs="Segoe UI"/>
          <w:sz w:val="20"/>
          <w:szCs w:val="20"/>
          <w:lang w:val="ka-GE"/>
        </w:rPr>
      </w:pPr>
    </w:p>
    <w:p w:rsidR="00AF4337" w:rsidRPr="006A04A6" w:rsidRDefault="00AF4337" w:rsidP="00AF4337">
      <w:pPr>
        <w:pStyle w:val="Heading2"/>
        <w:rPr>
          <w:lang w:val="en-US"/>
        </w:rPr>
      </w:pPr>
      <w:r>
        <w:t xml:space="preserve"> </w:t>
      </w:r>
      <w:r w:rsidRPr="006A04A6">
        <w:rPr>
          <w:lang w:val="en-US"/>
        </w:rPr>
        <w:t>ეკონომიკის აღდგენის პერსპექტივები სცენარების მიხედვით</w:t>
      </w:r>
    </w:p>
    <w:p w:rsidR="00AF4337" w:rsidRPr="002357A5" w:rsidRDefault="00AF4337" w:rsidP="00AF4337">
      <w:pPr>
        <w:spacing w:after="0" w:line="276" w:lineRule="auto"/>
        <w:ind w:firstLine="540"/>
        <w:jc w:val="both"/>
        <w:rPr>
          <w:rFonts w:ascii="Segoe UI" w:hAnsi="Segoe UI" w:cs="Segoe UI"/>
          <w:sz w:val="20"/>
          <w:szCs w:val="20"/>
          <w:lang w:val="ka-GE"/>
        </w:rPr>
      </w:pPr>
      <w:r w:rsidRPr="002357A5">
        <w:rPr>
          <w:rFonts w:ascii="Segoe UI" w:hAnsi="Segoe UI" w:cs="Segoe UI"/>
          <w:sz w:val="20"/>
          <w:szCs w:val="20"/>
          <w:lang w:val="ka-GE"/>
        </w:rPr>
        <w:t xml:space="preserve">საბაზისო სცენარში 2025 წლისათვის ეკონომიკა ახერხებს 2020 წლის დანაკარგის დაახლოებით </w:t>
      </w:r>
      <w:r w:rsidR="00721036" w:rsidRPr="002357A5">
        <w:rPr>
          <w:rFonts w:ascii="Segoe UI" w:hAnsi="Segoe UI" w:cs="Segoe UI"/>
          <w:sz w:val="20"/>
          <w:szCs w:val="20"/>
        </w:rPr>
        <w:t>¾</w:t>
      </w:r>
      <w:r w:rsidR="00721036" w:rsidRPr="002357A5">
        <w:rPr>
          <w:rFonts w:ascii="Segoe UI" w:hAnsi="Segoe UI" w:cs="Segoe UI"/>
          <w:sz w:val="20"/>
          <w:szCs w:val="20"/>
          <w:lang w:val="ka-GE"/>
        </w:rPr>
        <w:t xml:space="preserve"> </w:t>
      </w:r>
      <w:r w:rsidR="00F57D7D" w:rsidRPr="002357A5">
        <w:rPr>
          <w:rFonts w:ascii="Segoe UI" w:hAnsi="Segoe UI" w:cs="Segoe UI"/>
          <w:sz w:val="20"/>
          <w:szCs w:val="20"/>
          <w:lang w:val="ka-GE"/>
        </w:rPr>
        <w:t>-</w:t>
      </w:r>
      <w:r w:rsidRPr="002357A5">
        <w:rPr>
          <w:rFonts w:ascii="Segoe UI" w:hAnsi="Segoe UI" w:cs="Segoe UI"/>
          <w:sz w:val="20"/>
          <w:szCs w:val="20"/>
          <w:lang w:val="ka-GE"/>
        </w:rPr>
        <w:t xml:space="preserve">ის კომპენსირებას. ამ პერიოდში ნულოვან სცენართან შედარებით ეკონომიკა </w:t>
      </w:r>
      <w:r w:rsidR="006035A8">
        <w:rPr>
          <w:rFonts w:ascii="Segoe UI" w:hAnsi="Segoe UI" w:cs="Segoe UI"/>
          <w:sz w:val="20"/>
          <w:szCs w:val="20"/>
        </w:rPr>
        <w:t>1.9</w:t>
      </w:r>
      <w:r w:rsidRPr="002357A5">
        <w:rPr>
          <w:rFonts w:ascii="Segoe UI" w:hAnsi="Segoe UI" w:cs="Segoe UI"/>
          <w:sz w:val="20"/>
          <w:szCs w:val="20"/>
          <w:lang w:val="ka-GE"/>
        </w:rPr>
        <w:t xml:space="preserve"> პროცენტით ჩამორჩება. უნდა აღინიშნოს, რომ დანაკარგის სრულად კომპენსირება ვერ ხერხდება პოზიტიურ სცენარში, ხოლო ნეგატიურ სცენარში ჩამორჩენა ღრმავდება </w:t>
      </w:r>
      <w:r w:rsidR="006035A8">
        <w:rPr>
          <w:rFonts w:ascii="Segoe UI" w:hAnsi="Segoe UI" w:cs="Segoe UI"/>
          <w:sz w:val="20"/>
          <w:szCs w:val="20"/>
        </w:rPr>
        <w:t>7.9</w:t>
      </w:r>
      <w:r w:rsidRPr="002357A5">
        <w:rPr>
          <w:rFonts w:ascii="Segoe UI" w:hAnsi="Segoe UI" w:cs="Segoe UI"/>
          <w:sz w:val="20"/>
          <w:szCs w:val="20"/>
          <w:lang w:val="ka-GE"/>
        </w:rPr>
        <w:t xml:space="preserve"> პროცენტამდე.</w:t>
      </w:r>
    </w:p>
    <w:p w:rsidR="00AF4337" w:rsidRPr="002357A5" w:rsidRDefault="00AF4337" w:rsidP="00AF4337">
      <w:pPr>
        <w:spacing w:after="0" w:line="276" w:lineRule="auto"/>
        <w:ind w:firstLine="540"/>
        <w:jc w:val="both"/>
        <w:rPr>
          <w:rFonts w:ascii="Segoe UI" w:hAnsi="Segoe UI" w:cs="Segoe UI"/>
          <w:sz w:val="20"/>
          <w:szCs w:val="20"/>
          <w:lang w:val="ka-GE"/>
        </w:rPr>
      </w:pPr>
      <w:r w:rsidRPr="002357A5">
        <w:rPr>
          <w:rFonts w:ascii="Segoe UI" w:hAnsi="Segoe UI" w:cs="Segoe UI"/>
          <w:sz w:val="20"/>
          <w:szCs w:val="20"/>
          <w:lang w:val="ka-GE"/>
        </w:rPr>
        <w:t>აღნიშნული ჩამორჩენის მთავარი მიზეზებია:</w:t>
      </w:r>
    </w:p>
    <w:p w:rsidR="00610068" w:rsidRDefault="00610068"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610068">
        <w:rPr>
          <w:rFonts w:ascii="Segoe UI" w:hAnsi="Segoe UI" w:cs="Segoe UI"/>
          <w:sz w:val="20"/>
          <w:szCs w:val="20"/>
          <w:lang w:val="ka-GE"/>
        </w:rPr>
        <w:t>გაზრდილი ვალი/შემცირებული ბუფერები;</w:t>
      </w:r>
    </w:p>
    <w:p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ტურიზმის გლობალური სენტიმენტები;</w:t>
      </w:r>
    </w:p>
    <w:p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მომხმარებელთა შემცირებული სენტიმენტი;</w:t>
      </w:r>
    </w:p>
    <w:p w:rsidR="00AF4337" w:rsidRPr="002357A5" w:rsidRDefault="00AF4337" w:rsidP="00AF4337">
      <w:pPr>
        <w:pStyle w:val="ListParagraph"/>
        <w:numPr>
          <w:ilvl w:val="0"/>
          <w:numId w:val="19"/>
        </w:numPr>
        <w:spacing w:after="0" w:line="276" w:lineRule="auto"/>
        <w:ind w:left="360" w:hanging="180"/>
        <w:jc w:val="both"/>
        <w:rPr>
          <w:rFonts w:ascii="Segoe UI" w:hAnsi="Segoe UI" w:cs="Segoe UI"/>
          <w:sz w:val="20"/>
          <w:szCs w:val="20"/>
          <w:lang w:val="ka-GE"/>
        </w:rPr>
      </w:pPr>
      <w:r w:rsidRPr="002357A5">
        <w:rPr>
          <w:rFonts w:ascii="Segoe UI" w:hAnsi="Segoe UI" w:cs="Segoe UI"/>
          <w:sz w:val="20"/>
          <w:szCs w:val="20"/>
          <w:lang w:val="ka-GE"/>
        </w:rPr>
        <w:t>ეკონომიკის დივერსიფიცირების დაბალი ხარისხი.</w:t>
      </w:r>
    </w:p>
    <w:p w:rsidR="00AF4337" w:rsidRPr="002357A5" w:rsidRDefault="00AF4337" w:rsidP="00B36AF5">
      <w:pPr>
        <w:spacing w:after="0" w:line="276" w:lineRule="auto"/>
        <w:ind w:left="180"/>
        <w:jc w:val="center"/>
        <w:rPr>
          <w:rFonts w:ascii="Segoe UI" w:hAnsi="Segoe UI" w:cs="Segoe UI"/>
          <w:sz w:val="20"/>
          <w:szCs w:val="20"/>
          <w:lang w:val="ka-GE"/>
        </w:rPr>
      </w:pPr>
    </w:p>
    <w:p w:rsidR="00D23BB8" w:rsidRDefault="00D23BB8" w:rsidP="00F57D7D">
      <w:pPr>
        <w:pStyle w:val="Caption"/>
        <w:rPr>
          <w:rFonts w:ascii="Segoe UI" w:hAnsi="Segoe UI" w:cs="Segoe UI"/>
          <w:i w:val="0"/>
          <w:iCs w:val="0"/>
        </w:rPr>
      </w:pPr>
    </w:p>
    <w:p w:rsidR="00D23BB8" w:rsidRDefault="00D23BB8" w:rsidP="00F57D7D">
      <w:pPr>
        <w:pStyle w:val="Caption"/>
        <w:rPr>
          <w:rFonts w:ascii="Segoe UI" w:hAnsi="Segoe UI" w:cs="Segoe UI"/>
          <w:i w:val="0"/>
          <w:iCs w:val="0"/>
        </w:rPr>
      </w:pPr>
    </w:p>
    <w:p w:rsidR="00D23BB8" w:rsidRDefault="00D23BB8" w:rsidP="00F57D7D">
      <w:pPr>
        <w:pStyle w:val="Caption"/>
        <w:rPr>
          <w:rFonts w:ascii="Segoe UI" w:hAnsi="Segoe UI" w:cs="Segoe UI"/>
          <w:i w:val="0"/>
          <w:iCs w:val="0"/>
        </w:rPr>
      </w:pPr>
    </w:p>
    <w:p w:rsidR="00F57D7D" w:rsidRPr="002357A5" w:rsidRDefault="00F57D7D" w:rsidP="00F57D7D">
      <w:pPr>
        <w:pStyle w:val="Caption"/>
        <w:rPr>
          <w:rFonts w:ascii="Segoe UI" w:hAnsi="Segoe UI" w:cs="Segoe UI"/>
        </w:rPr>
      </w:pPr>
      <w:r w:rsidRPr="002357A5">
        <w:rPr>
          <w:rFonts w:ascii="Segoe UI" w:hAnsi="Segoe UI" w:cs="Segoe UI"/>
          <w:i w:val="0"/>
          <w:iCs w:val="0"/>
        </w:rPr>
        <w:t xml:space="preserve">დიაგრამა </w:t>
      </w:r>
      <w:r w:rsidRPr="002357A5">
        <w:rPr>
          <w:rFonts w:ascii="Segoe UI" w:hAnsi="Segoe UI" w:cs="Segoe UI"/>
          <w:i w:val="0"/>
          <w:iCs w:val="0"/>
          <w:lang w:val="ka-GE"/>
        </w:rPr>
        <w:t>9</w:t>
      </w:r>
      <w:r w:rsidRPr="002357A5">
        <w:rPr>
          <w:rFonts w:ascii="Segoe UI" w:hAnsi="Segoe UI" w:cs="Segoe UI"/>
          <w:i w:val="0"/>
          <w:iCs w:val="0"/>
          <w:noProof/>
        </w:rPr>
        <w:t>:</w:t>
      </w:r>
      <w:r w:rsidRPr="002357A5">
        <w:rPr>
          <w:rFonts w:ascii="Segoe UI" w:hAnsi="Segoe UI" w:cs="Segoe UI"/>
          <w:i w:val="0"/>
          <w:iCs w:val="0"/>
          <w:lang w:val="ka-GE"/>
        </w:rPr>
        <w:t xml:space="preserve"> რეალური მშპ-ს ინდექსი</w:t>
      </w:r>
    </w:p>
    <w:p w:rsidR="00AF4337" w:rsidRDefault="00F57D7D" w:rsidP="00AF4337">
      <w:r>
        <w:rPr>
          <w:rFonts w:ascii="Sylfaen" w:hAnsi="Sylfaen" w:cs="Segoe UI"/>
          <w:noProof/>
          <w:sz w:val="20"/>
          <w:szCs w:val="20"/>
        </w:rPr>
        <w:drawing>
          <wp:inline distT="0" distB="0" distL="0" distR="0" wp14:anchorId="17C0FAF2" wp14:editId="0D97C3DF">
            <wp:extent cx="6639339" cy="3864610"/>
            <wp:effectExtent l="0" t="0" r="9525" b="25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7D7D" w:rsidRPr="00311A14" w:rsidRDefault="00F57D7D" w:rsidP="00F57D7D">
      <w:pPr>
        <w:pStyle w:val="Caption"/>
        <w:rPr>
          <w:rFonts w:ascii="Segoe UI" w:hAnsi="Segoe UI" w:cs="Segoe UI"/>
          <w:i w:val="0"/>
          <w:iCs w:val="0"/>
          <w:sz w:val="14"/>
          <w:lang w:val="ka-GE"/>
        </w:rPr>
      </w:pPr>
      <w:r w:rsidRPr="00850E6B">
        <w:rPr>
          <w:rFonts w:ascii="Segoe UI" w:hAnsi="Segoe UI" w:cs="Segoe UI"/>
          <w:i w:val="0"/>
          <w:iCs w:val="0"/>
          <w:sz w:val="14"/>
          <w:lang w:val="ka-GE"/>
        </w:rPr>
        <w:t>წყარო: საქართველოს ფინანსთა სამინისტრო</w:t>
      </w:r>
    </w:p>
    <w:p w:rsidR="00F57D7D" w:rsidRPr="00AF4337" w:rsidRDefault="00F57D7D" w:rsidP="00AF4337"/>
    <w:sectPr w:rsidR="00F57D7D" w:rsidRPr="00AF4337" w:rsidSect="00CC0C7B">
      <w:headerReference w:type="default" r:id="rId19"/>
      <w:footerReference w:type="default" r:id="rId20"/>
      <w:footerReference w:type="first" r:id="rId21"/>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01" w:rsidRDefault="00B76001" w:rsidP="00CF6E50">
      <w:pPr>
        <w:spacing w:after="0" w:line="240" w:lineRule="auto"/>
      </w:pPr>
      <w:r>
        <w:separator/>
      </w:r>
    </w:p>
  </w:endnote>
  <w:endnote w:type="continuationSeparator" w:id="0">
    <w:p w:rsidR="00B76001" w:rsidRDefault="00B76001"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panose1 w:val="02000806000000020004"/>
    <w:charset w:val="00"/>
    <w:family w:val="auto"/>
    <w:pitch w:val="variable"/>
    <w:sig w:usb0="84000023"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650724" w:rsidRDefault="00650724">
        <w:pPr>
          <w:pStyle w:val="Footer"/>
          <w:jc w:val="right"/>
        </w:pPr>
        <w:r>
          <w:fldChar w:fldCharType="begin"/>
        </w:r>
        <w:r>
          <w:instrText xml:space="preserve"> PAGE   \* MERGEFORMAT </w:instrText>
        </w:r>
        <w:r>
          <w:fldChar w:fldCharType="separate"/>
        </w:r>
        <w:r w:rsidR="00F17ADE">
          <w:rPr>
            <w:noProof/>
          </w:rPr>
          <w:t>15</w:t>
        </w:r>
        <w:r>
          <w:rPr>
            <w:noProof/>
          </w:rPr>
          <w:fldChar w:fldCharType="end"/>
        </w:r>
      </w:p>
    </w:sdtContent>
  </w:sdt>
  <w:p w:rsidR="00650724" w:rsidRDefault="0065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24" w:rsidRDefault="00650724">
    <w:pPr>
      <w:pStyle w:val="Footer"/>
      <w:jc w:val="right"/>
    </w:pPr>
  </w:p>
  <w:p w:rsidR="00650724" w:rsidRDefault="00650724">
    <w:pPr>
      <w:pStyle w:val="Footer"/>
      <w:jc w:val="right"/>
    </w:pPr>
  </w:p>
  <w:p w:rsidR="00650724" w:rsidRDefault="0065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01" w:rsidRDefault="00B76001" w:rsidP="00CF6E50">
      <w:pPr>
        <w:spacing w:after="0" w:line="240" w:lineRule="auto"/>
      </w:pPr>
      <w:r>
        <w:separator/>
      </w:r>
    </w:p>
  </w:footnote>
  <w:footnote w:type="continuationSeparator" w:id="0">
    <w:p w:rsidR="00B76001" w:rsidRDefault="00B76001" w:rsidP="00CF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724" w:rsidRDefault="00650724">
    <w:pPr>
      <w:pStyle w:val="Header"/>
    </w:pPr>
    <w:r>
      <w:rPr>
        <w:noProof/>
      </w:rPr>
      <w:drawing>
        <wp:anchor distT="0" distB="0" distL="114300" distR="114300" simplePos="0" relativeHeight="251658240" behindDoc="0" locked="0" layoutInCell="1" allowOverlap="1" wp14:anchorId="73FBE02F" wp14:editId="20D46762">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5C9"/>
    <w:rsid w:val="00001F1A"/>
    <w:rsid w:val="00004DED"/>
    <w:rsid w:val="00017D0E"/>
    <w:rsid w:val="0002511E"/>
    <w:rsid w:val="00030183"/>
    <w:rsid w:val="0003181F"/>
    <w:rsid w:val="0003218A"/>
    <w:rsid w:val="000414D3"/>
    <w:rsid w:val="0004274A"/>
    <w:rsid w:val="00042F5A"/>
    <w:rsid w:val="00052985"/>
    <w:rsid w:val="000537E8"/>
    <w:rsid w:val="00054293"/>
    <w:rsid w:val="00055C81"/>
    <w:rsid w:val="00056D0F"/>
    <w:rsid w:val="000601CB"/>
    <w:rsid w:val="000614BE"/>
    <w:rsid w:val="00063706"/>
    <w:rsid w:val="00077166"/>
    <w:rsid w:val="00082C57"/>
    <w:rsid w:val="000A4D4A"/>
    <w:rsid w:val="000A655A"/>
    <w:rsid w:val="000B4EB7"/>
    <w:rsid w:val="000B5B7B"/>
    <w:rsid w:val="000B6C34"/>
    <w:rsid w:val="000B732B"/>
    <w:rsid w:val="000B7FDC"/>
    <w:rsid w:val="000C0D25"/>
    <w:rsid w:val="000C47D6"/>
    <w:rsid w:val="000C491B"/>
    <w:rsid w:val="000E2360"/>
    <w:rsid w:val="000E34C8"/>
    <w:rsid w:val="000E5971"/>
    <w:rsid w:val="000F0EE6"/>
    <w:rsid w:val="000F2641"/>
    <w:rsid w:val="000F2773"/>
    <w:rsid w:val="000F357B"/>
    <w:rsid w:val="000F4916"/>
    <w:rsid w:val="001066E7"/>
    <w:rsid w:val="001101A1"/>
    <w:rsid w:val="00115AC6"/>
    <w:rsid w:val="001235E3"/>
    <w:rsid w:val="00124E00"/>
    <w:rsid w:val="00130881"/>
    <w:rsid w:val="00131FBD"/>
    <w:rsid w:val="00136444"/>
    <w:rsid w:val="001365DC"/>
    <w:rsid w:val="00140F62"/>
    <w:rsid w:val="001428EE"/>
    <w:rsid w:val="0014592A"/>
    <w:rsid w:val="0015313A"/>
    <w:rsid w:val="001601D5"/>
    <w:rsid w:val="00166E5C"/>
    <w:rsid w:val="001701C5"/>
    <w:rsid w:val="001710C5"/>
    <w:rsid w:val="00190D83"/>
    <w:rsid w:val="001912EF"/>
    <w:rsid w:val="00194344"/>
    <w:rsid w:val="00195FF9"/>
    <w:rsid w:val="001A620E"/>
    <w:rsid w:val="001B0BC7"/>
    <w:rsid w:val="001B2E5C"/>
    <w:rsid w:val="001B3C2F"/>
    <w:rsid w:val="001B5320"/>
    <w:rsid w:val="001C0957"/>
    <w:rsid w:val="001D14AC"/>
    <w:rsid w:val="001D21AC"/>
    <w:rsid w:val="001D33F1"/>
    <w:rsid w:val="001D471D"/>
    <w:rsid w:val="001D75A3"/>
    <w:rsid w:val="001E0195"/>
    <w:rsid w:val="001E5A60"/>
    <w:rsid w:val="001E5B0A"/>
    <w:rsid w:val="001E6B81"/>
    <w:rsid w:val="001F65BF"/>
    <w:rsid w:val="00200F0D"/>
    <w:rsid w:val="002012BC"/>
    <w:rsid w:val="00204CCA"/>
    <w:rsid w:val="002118DB"/>
    <w:rsid w:val="00220221"/>
    <w:rsid w:val="002231EF"/>
    <w:rsid w:val="002251EA"/>
    <w:rsid w:val="002314FA"/>
    <w:rsid w:val="0023323B"/>
    <w:rsid w:val="0023365D"/>
    <w:rsid w:val="002357A5"/>
    <w:rsid w:val="0023637E"/>
    <w:rsid w:val="00236979"/>
    <w:rsid w:val="002462AA"/>
    <w:rsid w:val="00247023"/>
    <w:rsid w:val="0025046C"/>
    <w:rsid w:val="002515EE"/>
    <w:rsid w:val="002522FF"/>
    <w:rsid w:val="00266FC2"/>
    <w:rsid w:val="00271E27"/>
    <w:rsid w:val="00275130"/>
    <w:rsid w:val="00283359"/>
    <w:rsid w:val="00283E23"/>
    <w:rsid w:val="00286FA6"/>
    <w:rsid w:val="00291494"/>
    <w:rsid w:val="00291499"/>
    <w:rsid w:val="00297A70"/>
    <w:rsid w:val="002A72B7"/>
    <w:rsid w:val="002B0477"/>
    <w:rsid w:val="002B533F"/>
    <w:rsid w:val="002D3A14"/>
    <w:rsid w:val="002D6B40"/>
    <w:rsid w:val="002F46DB"/>
    <w:rsid w:val="00301A5B"/>
    <w:rsid w:val="0030260C"/>
    <w:rsid w:val="00311A14"/>
    <w:rsid w:val="00311D76"/>
    <w:rsid w:val="00312EB9"/>
    <w:rsid w:val="00320456"/>
    <w:rsid w:val="00322276"/>
    <w:rsid w:val="003350DD"/>
    <w:rsid w:val="0034147E"/>
    <w:rsid w:val="00342699"/>
    <w:rsid w:val="00346057"/>
    <w:rsid w:val="003517E4"/>
    <w:rsid w:val="00351D22"/>
    <w:rsid w:val="00365DE7"/>
    <w:rsid w:val="00366CF3"/>
    <w:rsid w:val="00370065"/>
    <w:rsid w:val="00370703"/>
    <w:rsid w:val="00373F80"/>
    <w:rsid w:val="00374560"/>
    <w:rsid w:val="00380D81"/>
    <w:rsid w:val="0038477F"/>
    <w:rsid w:val="00385E6A"/>
    <w:rsid w:val="00386ED5"/>
    <w:rsid w:val="003956DA"/>
    <w:rsid w:val="003A1B4F"/>
    <w:rsid w:val="003A4883"/>
    <w:rsid w:val="003A54A5"/>
    <w:rsid w:val="003A6407"/>
    <w:rsid w:val="003B4DEE"/>
    <w:rsid w:val="003B5120"/>
    <w:rsid w:val="003C4CA4"/>
    <w:rsid w:val="003D4330"/>
    <w:rsid w:val="003D648A"/>
    <w:rsid w:val="003E6477"/>
    <w:rsid w:val="003F4734"/>
    <w:rsid w:val="003F54AC"/>
    <w:rsid w:val="00401E4E"/>
    <w:rsid w:val="00402268"/>
    <w:rsid w:val="00402C9C"/>
    <w:rsid w:val="00405305"/>
    <w:rsid w:val="00405CE9"/>
    <w:rsid w:val="004175DD"/>
    <w:rsid w:val="00417878"/>
    <w:rsid w:val="00420B68"/>
    <w:rsid w:val="004221DF"/>
    <w:rsid w:val="0042357A"/>
    <w:rsid w:val="0042358B"/>
    <w:rsid w:val="004368AD"/>
    <w:rsid w:val="00440FFD"/>
    <w:rsid w:val="00445D2F"/>
    <w:rsid w:val="00446EAD"/>
    <w:rsid w:val="00447D5A"/>
    <w:rsid w:val="00454430"/>
    <w:rsid w:val="0045574E"/>
    <w:rsid w:val="00456DB8"/>
    <w:rsid w:val="004579CC"/>
    <w:rsid w:val="00464D38"/>
    <w:rsid w:val="00465AF4"/>
    <w:rsid w:val="0046718B"/>
    <w:rsid w:val="00471BF3"/>
    <w:rsid w:val="00474D98"/>
    <w:rsid w:val="00475BD8"/>
    <w:rsid w:val="0047714D"/>
    <w:rsid w:val="00477AF8"/>
    <w:rsid w:val="00480CAA"/>
    <w:rsid w:val="004A7F97"/>
    <w:rsid w:val="004B26ED"/>
    <w:rsid w:val="004B6FE2"/>
    <w:rsid w:val="004D0355"/>
    <w:rsid w:val="004D4B89"/>
    <w:rsid w:val="004D53CB"/>
    <w:rsid w:val="004E665D"/>
    <w:rsid w:val="004E77CF"/>
    <w:rsid w:val="004F2FF8"/>
    <w:rsid w:val="0050180A"/>
    <w:rsid w:val="00503477"/>
    <w:rsid w:val="005074EE"/>
    <w:rsid w:val="00524063"/>
    <w:rsid w:val="00525598"/>
    <w:rsid w:val="00526F02"/>
    <w:rsid w:val="00531C8D"/>
    <w:rsid w:val="005320D0"/>
    <w:rsid w:val="00537F75"/>
    <w:rsid w:val="00540C9F"/>
    <w:rsid w:val="0054193C"/>
    <w:rsid w:val="00542B7B"/>
    <w:rsid w:val="005430BA"/>
    <w:rsid w:val="0054437A"/>
    <w:rsid w:val="00562830"/>
    <w:rsid w:val="00563FF2"/>
    <w:rsid w:val="0057236C"/>
    <w:rsid w:val="00592DF7"/>
    <w:rsid w:val="00595BD5"/>
    <w:rsid w:val="005966A7"/>
    <w:rsid w:val="005A0716"/>
    <w:rsid w:val="005A257D"/>
    <w:rsid w:val="005B2808"/>
    <w:rsid w:val="005B7D6E"/>
    <w:rsid w:val="005C08C7"/>
    <w:rsid w:val="005C6654"/>
    <w:rsid w:val="005D1D66"/>
    <w:rsid w:val="005D4934"/>
    <w:rsid w:val="005D5F77"/>
    <w:rsid w:val="005D6612"/>
    <w:rsid w:val="005E472D"/>
    <w:rsid w:val="005F02D0"/>
    <w:rsid w:val="005F7E2E"/>
    <w:rsid w:val="00600021"/>
    <w:rsid w:val="006035A8"/>
    <w:rsid w:val="00606B99"/>
    <w:rsid w:val="00610068"/>
    <w:rsid w:val="00614986"/>
    <w:rsid w:val="00620B86"/>
    <w:rsid w:val="006211C7"/>
    <w:rsid w:val="00622007"/>
    <w:rsid w:val="00627DEF"/>
    <w:rsid w:val="00637582"/>
    <w:rsid w:val="00641076"/>
    <w:rsid w:val="00650724"/>
    <w:rsid w:val="00655390"/>
    <w:rsid w:val="0065775B"/>
    <w:rsid w:val="00657927"/>
    <w:rsid w:val="0066647C"/>
    <w:rsid w:val="00667D4A"/>
    <w:rsid w:val="0067152A"/>
    <w:rsid w:val="00674AEB"/>
    <w:rsid w:val="00676827"/>
    <w:rsid w:val="006835BA"/>
    <w:rsid w:val="00690744"/>
    <w:rsid w:val="006943E9"/>
    <w:rsid w:val="006A04A6"/>
    <w:rsid w:val="006A0BE7"/>
    <w:rsid w:val="006A6AF8"/>
    <w:rsid w:val="006B79A4"/>
    <w:rsid w:val="006C06B6"/>
    <w:rsid w:val="006C10F6"/>
    <w:rsid w:val="006C5B1A"/>
    <w:rsid w:val="006D18AC"/>
    <w:rsid w:val="006E02DC"/>
    <w:rsid w:val="006E0C61"/>
    <w:rsid w:val="006E16D8"/>
    <w:rsid w:val="007046B2"/>
    <w:rsid w:val="007065A7"/>
    <w:rsid w:val="007117FC"/>
    <w:rsid w:val="00721036"/>
    <w:rsid w:val="00722739"/>
    <w:rsid w:val="00734648"/>
    <w:rsid w:val="007415FB"/>
    <w:rsid w:val="00742CD0"/>
    <w:rsid w:val="007440C0"/>
    <w:rsid w:val="0074672D"/>
    <w:rsid w:val="00752D5E"/>
    <w:rsid w:val="007548B6"/>
    <w:rsid w:val="00761EC9"/>
    <w:rsid w:val="00774D79"/>
    <w:rsid w:val="00791C7A"/>
    <w:rsid w:val="007A0D1D"/>
    <w:rsid w:val="007A22C6"/>
    <w:rsid w:val="007A6C9B"/>
    <w:rsid w:val="007B49B9"/>
    <w:rsid w:val="007C1D40"/>
    <w:rsid w:val="007C4386"/>
    <w:rsid w:val="007C4893"/>
    <w:rsid w:val="007C7403"/>
    <w:rsid w:val="007D124E"/>
    <w:rsid w:val="007D3FC0"/>
    <w:rsid w:val="007D6241"/>
    <w:rsid w:val="007E4E33"/>
    <w:rsid w:val="007E66B6"/>
    <w:rsid w:val="007E6B28"/>
    <w:rsid w:val="007F3F47"/>
    <w:rsid w:val="00804A9A"/>
    <w:rsid w:val="00805936"/>
    <w:rsid w:val="00805D8D"/>
    <w:rsid w:val="00806A24"/>
    <w:rsid w:val="00810365"/>
    <w:rsid w:val="00811C4B"/>
    <w:rsid w:val="00814ED7"/>
    <w:rsid w:val="0082549F"/>
    <w:rsid w:val="00833E61"/>
    <w:rsid w:val="00834597"/>
    <w:rsid w:val="00850E6B"/>
    <w:rsid w:val="008555E8"/>
    <w:rsid w:val="00862AF3"/>
    <w:rsid w:val="00862E39"/>
    <w:rsid w:val="00875F23"/>
    <w:rsid w:val="0088185A"/>
    <w:rsid w:val="00884BBA"/>
    <w:rsid w:val="008854FC"/>
    <w:rsid w:val="008A444E"/>
    <w:rsid w:val="008B756A"/>
    <w:rsid w:val="008C1454"/>
    <w:rsid w:val="008C2A37"/>
    <w:rsid w:val="008C6634"/>
    <w:rsid w:val="008D588C"/>
    <w:rsid w:val="008D7997"/>
    <w:rsid w:val="008E2BA2"/>
    <w:rsid w:val="008E5C58"/>
    <w:rsid w:val="008F0CBE"/>
    <w:rsid w:val="008F3BD3"/>
    <w:rsid w:val="008F4E31"/>
    <w:rsid w:val="008F5E38"/>
    <w:rsid w:val="00907962"/>
    <w:rsid w:val="00914DE1"/>
    <w:rsid w:val="00926979"/>
    <w:rsid w:val="00932578"/>
    <w:rsid w:val="00935545"/>
    <w:rsid w:val="0093558D"/>
    <w:rsid w:val="00940CE3"/>
    <w:rsid w:val="00942F58"/>
    <w:rsid w:val="00945B6B"/>
    <w:rsid w:val="00945FBC"/>
    <w:rsid w:val="00952242"/>
    <w:rsid w:val="00954905"/>
    <w:rsid w:val="009556CB"/>
    <w:rsid w:val="00960720"/>
    <w:rsid w:val="009708BE"/>
    <w:rsid w:val="009764FC"/>
    <w:rsid w:val="0098147E"/>
    <w:rsid w:val="00982167"/>
    <w:rsid w:val="00993A68"/>
    <w:rsid w:val="00994C3C"/>
    <w:rsid w:val="009A31BB"/>
    <w:rsid w:val="009A4AF9"/>
    <w:rsid w:val="009B0995"/>
    <w:rsid w:val="009B30D7"/>
    <w:rsid w:val="009C6005"/>
    <w:rsid w:val="009E2E9F"/>
    <w:rsid w:val="009E5E03"/>
    <w:rsid w:val="009E6E7C"/>
    <w:rsid w:val="00A02540"/>
    <w:rsid w:val="00A123B9"/>
    <w:rsid w:val="00A12B98"/>
    <w:rsid w:val="00A14C5A"/>
    <w:rsid w:val="00A16130"/>
    <w:rsid w:val="00A172F9"/>
    <w:rsid w:val="00A35B99"/>
    <w:rsid w:val="00A36820"/>
    <w:rsid w:val="00A54B17"/>
    <w:rsid w:val="00A62C3D"/>
    <w:rsid w:val="00A8351A"/>
    <w:rsid w:val="00A90CBB"/>
    <w:rsid w:val="00A97359"/>
    <w:rsid w:val="00AA2427"/>
    <w:rsid w:val="00AB7B89"/>
    <w:rsid w:val="00AC704F"/>
    <w:rsid w:val="00AD1777"/>
    <w:rsid w:val="00AD1980"/>
    <w:rsid w:val="00AD5FD5"/>
    <w:rsid w:val="00AD6CFA"/>
    <w:rsid w:val="00AF038C"/>
    <w:rsid w:val="00AF299A"/>
    <w:rsid w:val="00AF2B97"/>
    <w:rsid w:val="00AF4337"/>
    <w:rsid w:val="00AF7561"/>
    <w:rsid w:val="00B028F0"/>
    <w:rsid w:val="00B207A3"/>
    <w:rsid w:val="00B3116F"/>
    <w:rsid w:val="00B36AF5"/>
    <w:rsid w:val="00B37086"/>
    <w:rsid w:val="00B40A59"/>
    <w:rsid w:val="00B46848"/>
    <w:rsid w:val="00B51837"/>
    <w:rsid w:val="00B529C1"/>
    <w:rsid w:val="00B537AE"/>
    <w:rsid w:val="00B56154"/>
    <w:rsid w:val="00B609F5"/>
    <w:rsid w:val="00B60B62"/>
    <w:rsid w:val="00B60C33"/>
    <w:rsid w:val="00B6284A"/>
    <w:rsid w:val="00B633EC"/>
    <w:rsid w:val="00B702F1"/>
    <w:rsid w:val="00B73DEE"/>
    <w:rsid w:val="00B76001"/>
    <w:rsid w:val="00B77160"/>
    <w:rsid w:val="00B83CE9"/>
    <w:rsid w:val="00B850F3"/>
    <w:rsid w:val="00B870DF"/>
    <w:rsid w:val="00B87A65"/>
    <w:rsid w:val="00B87E73"/>
    <w:rsid w:val="00B90B35"/>
    <w:rsid w:val="00B949D5"/>
    <w:rsid w:val="00B97C49"/>
    <w:rsid w:val="00BA574F"/>
    <w:rsid w:val="00BA6708"/>
    <w:rsid w:val="00BA6F80"/>
    <w:rsid w:val="00BC58DC"/>
    <w:rsid w:val="00BD0FF1"/>
    <w:rsid w:val="00BD7F05"/>
    <w:rsid w:val="00BE2637"/>
    <w:rsid w:val="00BE2DB2"/>
    <w:rsid w:val="00BE35C2"/>
    <w:rsid w:val="00BE6527"/>
    <w:rsid w:val="00BF1533"/>
    <w:rsid w:val="00BF22DB"/>
    <w:rsid w:val="00C03D07"/>
    <w:rsid w:val="00C04D8C"/>
    <w:rsid w:val="00C05DF7"/>
    <w:rsid w:val="00C1066B"/>
    <w:rsid w:val="00C14255"/>
    <w:rsid w:val="00C14283"/>
    <w:rsid w:val="00C201A7"/>
    <w:rsid w:val="00C2102E"/>
    <w:rsid w:val="00C300FF"/>
    <w:rsid w:val="00C3097C"/>
    <w:rsid w:val="00C33EA6"/>
    <w:rsid w:val="00C354E6"/>
    <w:rsid w:val="00C61944"/>
    <w:rsid w:val="00C70473"/>
    <w:rsid w:val="00C73A5E"/>
    <w:rsid w:val="00C75FAB"/>
    <w:rsid w:val="00C83535"/>
    <w:rsid w:val="00C94F9E"/>
    <w:rsid w:val="00CB3C84"/>
    <w:rsid w:val="00CB67E5"/>
    <w:rsid w:val="00CC08A2"/>
    <w:rsid w:val="00CC0C7B"/>
    <w:rsid w:val="00CC0EC6"/>
    <w:rsid w:val="00CC1F8E"/>
    <w:rsid w:val="00CC71E9"/>
    <w:rsid w:val="00CD00C8"/>
    <w:rsid w:val="00CD7662"/>
    <w:rsid w:val="00CE195E"/>
    <w:rsid w:val="00CE3157"/>
    <w:rsid w:val="00CE6E2B"/>
    <w:rsid w:val="00CF41A6"/>
    <w:rsid w:val="00CF55A6"/>
    <w:rsid w:val="00CF64BC"/>
    <w:rsid w:val="00CF6E50"/>
    <w:rsid w:val="00D1750B"/>
    <w:rsid w:val="00D1769C"/>
    <w:rsid w:val="00D23BB8"/>
    <w:rsid w:val="00D300AA"/>
    <w:rsid w:val="00D369DD"/>
    <w:rsid w:val="00D37C14"/>
    <w:rsid w:val="00D4297E"/>
    <w:rsid w:val="00D46152"/>
    <w:rsid w:val="00D51654"/>
    <w:rsid w:val="00D51D63"/>
    <w:rsid w:val="00D53F78"/>
    <w:rsid w:val="00D5419F"/>
    <w:rsid w:val="00D56AF5"/>
    <w:rsid w:val="00D62C7F"/>
    <w:rsid w:val="00D64554"/>
    <w:rsid w:val="00D665D9"/>
    <w:rsid w:val="00D66DEC"/>
    <w:rsid w:val="00D73007"/>
    <w:rsid w:val="00D73B98"/>
    <w:rsid w:val="00D75108"/>
    <w:rsid w:val="00D751E7"/>
    <w:rsid w:val="00D801ED"/>
    <w:rsid w:val="00D86BED"/>
    <w:rsid w:val="00D86F34"/>
    <w:rsid w:val="00D920D4"/>
    <w:rsid w:val="00DA0567"/>
    <w:rsid w:val="00DA2ECE"/>
    <w:rsid w:val="00DB0F42"/>
    <w:rsid w:val="00DB10BC"/>
    <w:rsid w:val="00DB2940"/>
    <w:rsid w:val="00DB6D28"/>
    <w:rsid w:val="00DC120F"/>
    <w:rsid w:val="00DC2843"/>
    <w:rsid w:val="00DC32CF"/>
    <w:rsid w:val="00DD088C"/>
    <w:rsid w:val="00DD11F1"/>
    <w:rsid w:val="00DD32A0"/>
    <w:rsid w:val="00DD3E47"/>
    <w:rsid w:val="00DD6AF3"/>
    <w:rsid w:val="00DE5CC1"/>
    <w:rsid w:val="00DF4E09"/>
    <w:rsid w:val="00DF7374"/>
    <w:rsid w:val="00E00D18"/>
    <w:rsid w:val="00E02371"/>
    <w:rsid w:val="00E1050F"/>
    <w:rsid w:val="00E16686"/>
    <w:rsid w:val="00E2145A"/>
    <w:rsid w:val="00E23440"/>
    <w:rsid w:val="00E26256"/>
    <w:rsid w:val="00E2698F"/>
    <w:rsid w:val="00E32544"/>
    <w:rsid w:val="00E33BBB"/>
    <w:rsid w:val="00E42525"/>
    <w:rsid w:val="00E523DA"/>
    <w:rsid w:val="00E54FF5"/>
    <w:rsid w:val="00E61957"/>
    <w:rsid w:val="00E61988"/>
    <w:rsid w:val="00E61C69"/>
    <w:rsid w:val="00E67796"/>
    <w:rsid w:val="00E71AFC"/>
    <w:rsid w:val="00E72A49"/>
    <w:rsid w:val="00E74303"/>
    <w:rsid w:val="00E76055"/>
    <w:rsid w:val="00E77198"/>
    <w:rsid w:val="00E824A4"/>
    <w:rsid w:val="00E8516D"/>
    <w:rsid w:val="00E85C15"/>
    <w:rsid w:val="00E901A8"/>
    <w:rsid w:val="00E935BE"/>
    <w:rsid w:val="00E96B8C"/>
    <w:rsid w:val="00EA0190"/>
    <w:rsid w:val="00EB1041"/>
    <w:rsid w:val="00EB6213"/>
    <w:rsid w:val="00EC4B0E"/>
    <w:rsid w:val="00EC6CE3"/>
    <w:rsid w:val="00ED418B"/>
    <w:rsid w:val="00ED4BE4"/>
    <w:rsid w:val="00ED6D04"/>
    <w:rsid w:val="00ED763A"/>
    <w:rsid w:val="00EE05CC"/>
    <w:rsid w:val="00EE19F0"/>
    <w:rsid w:val="00EF40B8"/>
    <w:rsid w:val="00EF66D3"/>
    <w:rsid w:val="00EF6703"/>
    <w:rsid w:val="00F17ADE"/>
    <w:rsid w:val="00F23CB8"/>
    <w:rsid w:val="00F26EE2"/>
    <w:rsid w:val="00F3408E"/>
    <w:rsid w:val="00F379ED"/>
    <w:rsid w:val="00F43054"/>
    <w:rsid w:val="00F46B98"/>
    <w:rsid w:val="00F52155"/>
    <w:rsid w:val="00F525E1"/>
    <w:rsid w:val="00F57D7D"/>
    <w:rsid w:val="00F7249C"/>
    <w:rsid w:val="00F729C6"/>
    <w:rsid w:val="00F81CC8"/>
    <w:rsid w:val="00F900A8"/>
    <w:rsid w:val="00F90420"/>
    <w:rsid w:val="00F915B2"/>
    <w:rsid w:val="00F964DF"/>
    <w:rsid w:val="00FA0023"/>
    <w:rsid w:val="00FA282F"/>
    <w:rsid w:val="00FA79F1"/>
    <w:rsid w:val="00FB58A1"/>
    <w:rsid w:val="00FC02D6"/>
    <w:rsid w:val="00FD2A2F"/>
    <w:rsid w:val="00FD5F36"/>
    <w:rsid w:val="00FE4D10"/>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31EF"/>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Revision">
    <w:name w:val="Revision"/>
    <w:hidden/>
    <w:uiPriority w:val="99"/>
    <w:semiHidden/>
    <w:rsid w:val="00945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hinkpad\Desktop\MOF\&#4317;&#4325;&#4322;&#4317;&#4315;&#4305;&#4320;&#4312;&#4321;%20&#4306;&#4304;&#4316;&#4304;&#4334;&#4314;&#4308;&#4305;&#4304;\&#4306;&#4320;&#4304;&#4324;&#4312;&#4313;&#4308;&#4305;&#4312;%20(excel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emuri\Downloads\GDP_Monthly_S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hinkpad\Desktop\MOF\&#4317;&#4325;&#4322;&#4317;&#4315;&#4305;&#4320;&#4312;&#4321;%20&#4306;&#4304;&#4316;&#4304;&#4334;&#4314;&#4308;&#4305;&#4304;\&#4306;&#4320;&#4304;&#4324;&#4312;&#4313;&#4308;&#4305;&#4312;%20(excel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sotne.marghia\Desktop\2022%20FRS%20Chart%20sen%2008_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tsotne.marghia\Desktop\2022%20FRS%20Chart%20sen%2008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D:\tsotne.marghia\Desktop\2022%20FRS%20Chart%20sen%2008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D:\tsotne.marghia\Desktop\2022%20FRS%20Chart%20sen%2008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განვითარებული</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0.0%</c:formatCode>
                <c:ptCount val="3"/>
                <c:pt idx="0">
                  <c:v>-4.539E-2</c:v>
                </c:pt>
                <c:pt idx="1">
                  <c:v>5.2019999999999997E-2</c:v>
                </c:pt>
                <c:pt idx="2">
                  <c:v>4.5350000000000001E-2</c:v>
                </c:pt>
              </c:numCache>
            </c:numRef>
          </c:val>
          <c:extLst>
            <c:ext xmlns:c16="http://schemas.microsoft.com/office/drawing/2014/chart" uri="{C3380CC4-5D6E-409C-BE32-E72D297353CC}">
              <c16:uniqueId val="{00000000-30FE-4738-9982-C35D55DEB468}"/>
            </c:ext>
          </c:extLst>
        </c:ser>
        <c:ser>
          <c:idx val="1"/>
          <c:order val="1"/>
          <c:tx>
            <c:strRef>
              <c:f>Sheet1!$C$1</c:f>
              <c:strCache>
                <c:ptCount val="1"/>
                <c:pt idx="0">
                  <c:v>განვითარებადი</c:v>
                </c:pt>
              </c:strCache>
            </c:strRef>
          </c:tx>
          <c:spPr>
            <a:solidFill>
              <a:srgbClr val="FFCD6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0.0%</c:formatCode>
                <c:ptCount val="3"/>
                <c:pt idx="0">
                  <c:v>-2.0659999999999998E-2</c:v>
                </c:pt>
                <c:pt idx="1">
                  <c:v>6.3750000000000001E-2</c:v>
                </c:pt>
                <c:pt idx="2">
                  <c:v>5.1459999999999999E-2</c:v>
                </c:pt>
              </c:numCache>
            </c:numRef>
          </c:val>
          <c:extLst>
            <c:ext xmlns:c16="http://schemas.microsoft.com/office/drawing/2014/chart" uri="{C3380CC4-5D6E-409C-BE32-E72D297353CC}">
              <c16:uniqueId val="{00000001-30FE-4738-9982-C35D55DEB468}"/>
            </c:ext>
          </c:extLst>
        </c:ser>
        <c:dLbls>
          <c:showLegendKey val="0"/>
          <c:showVal val="0"/>
          <c:showCatName val="0"/>
          <c:showSerName val="0"/>
          <c:showPercent val="0"/>
          <c:showBubbleSize val="0"/>
        </c:dLbls>
        <c:gapWidth val="53"/>
        <c:overlap val="-4"/>
        <c:axId val="-2057004496"/>
        <c:axId val="-2057007216"/>
      </c:barChart>
      <c:catAx>
        <c:axId val="-20570044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7216"/>
        <c:crosses val="autoZero"/>
        <c:auto val="1"/>
        <c:lblAlgn val="ctr"/>
        <c:lblOffset val="100"/>
        <c:noMultiLvlLbl val="0"/>
      </c:catAx>
      <c:valAx>
        <c:axId val="-205700721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-6.1596729395683836E-2</c:v>
                </c:pt>
                <c:pt idx="1">
                  <c:v>0.10799966145102657</c:v>
                </c:pt>
                <c:pt idx="2">
                  <c:v>6.2999871675754493E-2</c:v>
                </c:pt>
                <c:pt idx="3">
                  <c:v>5.9000351187021627E-2</c:v>
                </c:pt>
                <c:pt idx="4">
                  <c:v>5.3999762349233205E-2</c:v>
                </c:pt>
                <c:pt idx="5">
                  <c:v>5.2000224831304953E-2</c:v>
                </c:pt>
              </c:numCache>
            </c:numRef>
          </c:val>
          <c:smooth val="0"/>
          <c:extLs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2057002320"/>
        <c:axId val="-2057002864"/>
      </c:lineChart>
      <c:catAx>
        <c:axId val="-20570023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057002864"/>
        <c:crosses val="autoZero"/>
        <c:auto val="1"/>
        <c:lblAlgn val="ctr"/>
        <c:lblOffset val="100"/>
        <c:noMultiLvlLbl val="0"/>
      </c:catAx>
      <c:valAx>
        <c:axId val="-2057002864"/>
        <c:scaling>
          <c:orientation val="minMax"/>
        </c:scaling>
        <c:delete val="1"/>
        <c:axPos val="l"/>
        <c:numFmt formatCode="0.0%" sourceLinked="1"/>
        <c:majorTickMark val="none"/>
        <c:minorTickMark val="none"/>
        <c:tickLblPos val="nextTo"/>
        <c:crossAx val="-2057002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79048823517529E-2"/>
          <c:y val="4.3650793650793648E-2"/>
          <c:w val="0.93602095117648243"/>
          <c:h val="0.79980826008316508"/>
        </c:manualLayout>
      </c:layout>
      <c:lineChart>
        <c:grouping val="standard"/>
        <c:varyColors val="0"/>
        <c:ser>
          <c:idx val="0"/>
          <c:order val="0"/>
          <c:tx>
            <c:strRef>
              <c:f>Sheet1!$B$1</c:f>
              <c:strCache>
                <c:ptCount val="1"/>
                <c:pt idx="0">
                  <c:v>ნულოვანი</c:v>
                </c:pt>
              </c:strCache>
            </c:strRef>
          </c:tx>
          <c:spPr>
            <a:ln w="28575" cap="rnd">
              <a:solidFill>
                <a:srgbClr val="002060"/>
              </a:solidFill>
              <a:prstDash val="dash"/>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Sheet1!$B$2:$B$8</c:f>
              <c:numCache>
                <c:formatCode>#,##0</c:formatCode>
                <c:ptCount val="7"/>
                <c:pt idx="0">
                  <c:v>40298.009769482451</c:v>
                </c:pt>
                <c:pt idx="1">
                  <c:v>42111.420209109157</c:v>
                </c:pt>
                <c:pt idx="2">
                  <c:v>44006.434118519064</c:v>
                </c:pt>
                <c:pt idx="3">
                  <c:v>45986.723653852416</c:v>
                </c:pt>
                <c:pt idx="4">
                  <c:v>48056.126218275771</c:v>
                </c:pt>
                <c:pt idx="5">
                  <c:v>50218.651898098178</c:v>
                </c:pt>
                <c:pt idx="6">
                  <c:v>52478.491233512592</c:v>
                </c:pt>
              </c:numCache>
            </c:numRef>
          </c:val>
          <c:smooth val="0"/>
          <c:extLst>
            <c:ext xmlns:c16="http://schemas.microsoft.com/office/drawing/2014/chart" uri="{C3380CC4-5D6E-409C-BE32-E72D297353CC}">
              <c16:uniqueId val="{00000000-60A0-4D3D-AEA1-945D0874BE2A}"/>
            </c:ext>
          </c:extLst>
        </c:ser>
        <c:ser>
          <c:idx val="1"/>
          <c:order val="1"/>
          <c:tx>
            <c:strRef>
              <c:f>Sheet1!$C$1</c:f>
              <c:strCache>
                <c:ptCount val="1"/>
                <c:pt idx="0">
                  <c:v>საბაზო</c:v>
                </c:pt>
              </c:strCache>
            </c:strRef>
          </c:tx>
          <c:spPr>
            <a:ln w="28575" cap="rnd">
              <a:solidFill>
                <a:schemeClr val="accent4"/>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Sheet1!$C$2:$C$8</c:f>
              <c:numCache>
                <c:formatCode>#,##0</c:formatCode>
                <c:ptCount val="7"/>
                <c:pt idx="0">
                  <c:v>40298.009769482451</c:v>
                </c:pt>
                <c:pt idx="1">
                  <c:v>37815.784166527017</c:v>
                </c:pt>
                <c:pt idx="2">
                  <c:v>41597.357939646499</c:v>
                </c:pt>
                <c:pt idx="3">
                  <c:v>44093.202108352845</c:v>
                </c:pt>
                <c:pt idx="4">
                  <c:v>46518.333156653076</c:v>
                </c:pt>
                <c:pt idx="5">
                  <c:v>48937.276659289622</c:v>
                </c:pt>
                <c:pt idx="6">
                  <c:v>51482.029712464217</c:v>
                </c:pt>
              </c:numCache>
            </c:numRef>
          </c:val>
          <c:smooth val="0"/>
          <c:extLst>
            <c:ext xmlns:c16="http://schemas.microsoft.com/office/drawing/2014/chart" uri="{C3380CC4-5D6E-409C-BE32-E72D297353CC}">
              <c16:uniqueId val="{00000001-60A0-4D3D-AEA1-945D0874BE2A}"/>
            </c:ext>
          </c:extLst>
        </c:ser>
        <c:ser>
          <c:idx val="2"/>
          <c:order val="2"/>
          <c:tx>
            <c:strRef>
              <c:f>Sheet1!$D$1</c:f>
              <c:strCache>
                <c:ptCount val="1"/>
                <c:pt idx="0">
                  <c:v>ნეგატიური</c:v>
                </c:pt>
              </c:strCache>
            </c:strRef>
          </c:tx>
          <c:spPr>
            <a:ln w="28575" cap="rnd">
              <a:solidFill>
                <a:srgbClr val="FF7C80"/>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Sheet1!$D$2:$D$8</c:f>
              <c:numCache>
                <c:formatCode>#,##0</c:formatCode>
                <c:ptCount val="7"/>
                <c:pt idx="0">
                  <c:v>40298.009769482451</c:v>
                </c:pt>
                <c:pt idx="1">
                  <c:v>37815.784166527017</c:v>
                </c:pt>
                <c:pt idx="2">
                  <c:v>41408.294454261253</c:v>
                </c:pt>
                <c:pt idx="3">
                  <c:v>43106.011619078461</c:v>
                </c:pt>
                <c:pt idx="4">
                  <c:v>44744.050442598826</c:v>
                </c:pt>
                <c:pt idx="5">
                  <c:v>46489.0761932733</c:v>
                </c:pt>
                <c:pt idx="6">
                  <c:v>48348.633435218871</c:v>
                </c:pt>
              </c:numCache>
            </c:numRef>
          </c:val>
          <c:smooth val="0"/>
          <c:extLst>
            <c:ext xmlns:c16="http://schemas.microsoft.com/office/drawing/2014/chart" uri="{C3380CC4-5D6E-409C-BE32-E72D297353CC}">
              <c16:uniqueId val="{00000002-60A0-4D3D-AEA1-945D0874BE2A}"/>
            </c:ext>
          </c:extLst>
        </c:ser>
        <c:ser>
          <c:idx val="3"/>
          <c:order val="3"/>
          <c:tx>
            <c:strRef>
              <c:f>Sheet1!$E$1</c:f>
              <c:strCache>
                <c:ptCount val="1"/>
                <c:pt idx="0">
                  <c:v>პოზიტიური</c:v>
                </c:pt>
              </c:strCache>
            </c:strRef>
          </c:tx>
          <c:spPr>
            <a:ln w="28575" cap="rnd">
              <a:solidFill>
                <a:srgbClr val="006699"/>
              </a:solidFill>
              <a:round/>
            </a:ln>
            <a:effectLst/>
          </c:spPr>
          <c:marker>
            <c:symbol val="none"/>
          </c:marker>
          <c:cat>
            <c:numRef>
              <c:f>Sheet1!$A$2:$A$8</c:f>
              <c:numCache>
                <c:formatCode>General</c:formatCode>
                <c:ptCount val="7"/>
                <c:pt idx="0">
                  <c:v>2019</c:v>
                </c:pt>
                <c:pt idx="1">
                  <c:v>2020</c:v>
                </c:pt>
                <c:pt idx="2">
                  <c:v>2021</c:v>
                </c:pt>
                <c:pt idx="3">
                  <c:v>2022</c:v>
                </c:pt>
                <c:pt idx="4">
                  <c:v>2023</c:v>
                </c:pt>
                <c:pt idx="5">
                  <c:v>2024</c:v>
                </c:pt>
                <c:pt idx="6">
                  <c:v>2025</c:v>
                </c:pt>
              </c:numCache>
            </c:numRef>
          </c:cat>
          <c:val>
            <c:numRef>
              <c:f>Sheet1!$E$2:$E$8</c:f>
              <c:numCache>
                <c:formatCode>#,##0</c:formatCode>
                <c:ptCount val="7"/>
                <c:pt idx="0">
                  <c:v>40298.009769482451</c:v>
                </c:pt>
                <c:pt idx="1">
                  <c:v>37815.784166527017</c:v>
                </c:pt>
                <c:pt idx="2">
                  <c:v>41899.876054017026</c:v>
                </c:pt>
                <c:pt idx="3">
                  <c:v>44539.562868650115</c:v>
                </c:pt>
                <c:pt idx="4">
                  <c:v>47167.412719616899</c:v>
                </c:pt>
                <c:pt idx="5">
                  <c:v>49714.441797104409</c:v>
                </c:pt>
                <c:pt idx="6">
                  <c:v>52299.603947916665</c:v>
                </c:pt>
              </c:numCache>
            </c:numRef>
          </c:val>
          <c:smooth val="0"/>
          <c:extLst>
            <c:ext xmlns:c16="http://schemas.microsoft.com/office/drawing/2014/chart" uri="{C3380CC4-5D6E-409C-BE32-E72D297353CC}">
              <c16:uniqueId val="{00000003-60A0-4D3D-AEA1-945D0874BE2A}"/>
            </c:ext>
          </c:extLst>
        </c:ser>
        <c:dLbls>
          <c:showLegendKey val="0"/>
          <c:showVal val="0"/>
          <c:showCatName val="0"/>
          <c:showSerName val="0"/>
          <c:showPercent val="0"/>
          <c:showBubbleSize val="0"/>
        </c:dLbls>
        <c:smooth val="0"/>
        <c:axId val="-2057000144"/>
        <c:axId val="-2056996880"/>
      </c:lineChart>
      <c:catAx>
        <c:axId val="-205700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996880"/>
        <c:crosses val="autoZero"/>
        <c:auto val="1"/>
        <c:lblAlgn val="ctr"/>
        <c:lblOffset val="100"/>
        <c:noMultiLvlLbl val="0"/>
      </c:catAx>
      <c:valAx>
        <c:axId val="-2056996880"/>
        <c:scaling>
          <c:orientation val="minMax"/>
          <c:max val="53000"/>
          <c:min val="3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0144"/>
        <c:crosses val="autoZero"/>
        <c:crossBetween val="between"/>
      </c:valAx>
      <c:spPr>
        <a:noFill/>
        <a:ln>
          <a:noFill/>
        </a:ln>
        <a:effectLst/>
      </c:spPr>
    </c:plotArea>
    <c:legend>
      <c:legendPos val="b"/>
      <c:layout>
        <c:manualLayout>
          <c:xMode val="edge"/>
          <c:yMode val="edge"/>
          <c:x val="0.12651077443702374"/>
          <c:y val="0.92085799084513054"/>
          <c:w val="0.72314273422092867"/>
          <c:h val="5.942462499450138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Sheet1!$N$3</c:f>
              <c:strCache>
                <c:ptCount val="1"/>
                <c:pt idx="0">
                  <c:v>წლიური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Sheet1!$N$4:$N$13</c:f>
              <c:numCache>
                <c:formatCode>0.0%</c:formatCode>
                <c:ptCount val="10"/>
                <c:pt idx="0">
                  <c:v>2.8312171463317215E-2</c:v>
                </c:pt>
                <c:pt idx="1">
                  <c:v>3.577924406512234E-2</c:v>
                </c:pt>
                <c:pt idx="2">
                  <c:v>7.2163119303971124E-2</c:v>
                </c:pt>
                <c:pt idx="3">
                  <c:v>7.2052281528520279E-2</c:v>
                </c:pt>
                <c:pt idx="4">
                  <c:v>7.6879725202110949E-2</c:v>
                </c:pt>
                <c:pt idx="5">
                  <c:v>9.8944529787627689E-2</c:v>
                </c:pt>
                <c:pt idx="6">
                  <c:v>0.11908296814757335</c:v>
                </c:pt>
                <c:pt idx="7">
                  <c:v>0.12769370564321636</c:v>
                </c:pt>
                <c:pt idx="8">
                  <c:v>0.123</c:v>
                </c:pt>
                <c:pt idx="9">
                  <c:v>0.129</c:v>
                </c:pt>
              </c:numCache>
            </c:numRef>
          </c:val>
          <c:extLst>
            <c:ext xmlns:c16="http://schemas.microsoft.com/office/drawing/2014/chart" uri="{C3380CC4-5D6E-409C-BE32-E72D297353CC}">
              <c16:uniqueId val="{00000000-F268-4E19-A8B8-5850472CB3D8}"/>
            </c:ext>
          </c:extLst>
        </c:ser>
        <c:ser>
          <c:idx val="1"/>
          <c:order val="1"/>
          <c:tx>
            <c:strRef>
              <c:f>Sheet1!$O$3</c:f>
              <c:strCache>
                <c:ptCount val="1"/>
                <c:pt idx="0">
                  <c:v>თვე-თვესთან, ანუალიზებული</c:v>
                </c:pt>
              </c:strCache>
            </c:strRef>
          </c:tx>
          <c:spPr>
            <a:solidFill>
              <a:schemeClr val="accent2"/>
            </a:solidFill>
            <a:ln>
              <a:noFill/>
            </a:ln>
            <a:effectLst/>
          </c:spPr>
          <c:invertIfNegative val="0"/>
          <c:cat>
            <c:strRef>
              <c:f>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Sheet1!$O$4:$O$13</c:f>
              <c:numCache>
                <c:formatCode>0.0%</c:formatCode>
                <c:ptCount val="10"/>
                <c:pt idx="0">
                  <c:v>6.8610177887856505E-2</c:v>
                </c:pt>
                <c:pt idx="1">
                  <c:v>0.13326219876179168</c:v>
                </c:pt>
                <c:pt idx="2">
                  <c:v>0.58032771233604774</c:v>
                </c:pt>
                <c:pt idx="3">
                  <c:v>8.2764238230802922E-2</c:v>
                </c:pt>
                <c:pt idx="4">
                  <c:v>0.12433301035296029</c:v>
                </c:pt>
                <c:pt idx="5">
                  <c:v>0.26075380351258048</c:v>
                </c:pt>
                <c:pt idx="6">
                  <c:v>0.26541937657641745</c:v>
                </c:pt>
                <c:pt idx="7">
                  <c:v>7.0634262370107725E-2</c:v>
                </c:pt>
                <c:pt idx="8">
                  <c:v>-2.9268342541333148E-3</c:v>
                </c:pt>
                <c:pt idx="9">
                  <c:v>0.10797210213651143</c:v>
                </c:pt>
              </c:numCache>
            </c:numRef>
          </c:val>
          <c:extLst>
            <c:ext xmlns:c16="http://schemas.microsoft.com/office/drawing/2014/chart" uri="{C3380CC4-5D6E-409C-BE32-E72D297353CC}">
              <c16:uniqueId val="{00000001-F268-4E19-A8B8-5850472CB3D8}"/>
            </c:ext>
          </c:extLst>
        </c:ser>
        <c:dLbls>
          <c:showLegendKey val="0"/>
          <c:showVal val="0"/>
          <c:showCatName val="0"/>
          <c:showSerName val="0"/>
          <c:showPercent val="0"/>
          <c:showBubbleSize val="0"/>
        </c:dLbls>
        <c:gapWidth val="100"/>
        <c:axId val="-2057006128"/>
        <c:axId val="-2057005040"/>
      </c:barChart>
      <c:lineChart>
        <c:grouping val="standard"/>
        <c:varyColors val="0"/>
        <c:ser>
          <c:idx val="2"/>
          <c:order val="2"/>
          <c:tx>
            <c:strRef>
              <c:f>Sheet1!$P$3</c:f>
              <c:strCache>
                <c:ptCount val="1"/>
                <c:pt idx="0">
                  <c:v>მიზნობრივი</c:v>
                </c:pt>
              </c:strCache>
            </c:strRef>
          </c:tx>
          <c:spPr>
            <a:ln w="28575" cap="rnd">
              <a:solidFill>
                <a:schemeClr val="accent3"/>
              </a:solidFill>
              <a:round/>
            </a:ln>
            <a:effectLst/>
          </c:spPr>
          <c:marker>
            <c:symbol val="none"/>
          </c:marker>
          <c:cat>
            <c:strRef>
              <c:f>Sheet1!$H$4:$H$11</c:f>
              <c:strCache>
                <c:ptCount val="8"/>
                <c:pt idx="0">
                  <c:v>იან</c:v>
                </c:pt>
                <c:pt idx="1">
                  <c:v>თებ</c:v>
                </c:pt>
                <c:pt idx="2">
                  <c:v>მარ</c:v>
                </c:pt>
                <c:pt idx="3">
                  <c:v>აპრ</c:v>
                </c:pt>
                <c:pt idx="4">
                  <c:v>მაი</c:v>
                </c:pt>
                <c:pt idx="5">
                  <c:v>ივნ</c:v>
                </c:pt>
                <c:pt idx="6">
                  <c:v>ივლ</c:v>
                </c:pt>
                <c:pt idx="7">
                  <c:v>აგვ</c:v>
                </c:pt>
              </c:strCache>
            </c:strRef>
          </c:cat>
          <c:val>
            <c:numRef>
              <c:f>Sheet1!$P$4:$P$13</c:f>
              <c:numCache>
                <c:formatCode>0.0%</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2-F268-4E19-A8B8-5850472CB3D8}"/>
            </c:ext>
          </c:extLst>
        </c:ser>
        <c:dLbls>
          <c:showLegendKey val="0"/>
          <c:showVal val="0"/>
          <c:showCatName val="0"/>
          <c:showSerName val="0"/>
          <c:showPercent val="0"/>
          <c:showBubbleSize val="0"/>
        </c:dLbls>
        <c:marker val="1"/>
        <c:smooth val="0"/>
        <c:axId val="-2057006128"/>
        <c:axId val="-2057005040"/>
      </c:lineChart>
      <c:catAx>
        <c:axId val="-2057006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5040"/>
        <c:crosses val="autoZero"/>
        <c:auto val="1"/>
        <c:lblAlgn val="ctr"/>
        <c:lblOffset val="100"/>
        <c:noMultiLvlLbl val="0"/>
      </c:catAx>
      <c:valAx>
        <c:axId val="-2057005040"/>
        <c:scaling>
          <c:orientation val="minMax"/>
          <c:min val="-1.0000000000000002E-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6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578204579475023E-2"/>
          <c:y val="4.5823786711101856E-2"/>
          <c:w val="0.91916554002794515"/>
          <c:h val="0.79196689666030862"/>
        </c:manualLayout>
      </c:layout>
      <c:lineChart>
        <c:grouping val="standard"/>
        <c:varyColors val="0"/>
        <c:ser>
          <c:idx val="0"/>
          <c:order val="0"/>
          <c:tx>
            <c:strRef>
              <c:f>[GDP_Monthly_SA.xlsx]Sheet1!$O$146</c:f>
              <c:strCache>
                <c:ptCount val="1"/>
                <c:pt idx="0">
                  <c:v>2021/2020</c:v>
                </c:pt>
              </c:strCache>
            </c:strRef>
          </c:tx>
          <c:spPr>
            <a:ln w="28575" cap="rnd">
              <a:solidFill>
                <a:srgbClr val="1BA4BF"/>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[GDP_Monthly_SA.xlsx]Sheet1!$N$147:$N$155</c:f>
              <c:strCache>
                <c:ptCount val="9"/>
                <c:pt idx="0">
                  <c:v>იანვ</c:v>
                </c:pt>
                <c:pt idx="1">
                  <c:v>თებ</c:v>
                </c:pt>
                <c:pt idx="2">
                  <c:v>მარ</c:v>
                </c:pt>
                <c:pt idx="3">
                  <c:v>აპრ</c:v>
                </c:pt>
                <c:pt idx="4">
                  <c:v>მაი</c:v>
                </c:pt>
                <c:pt idx="5">
                  <c:v>ივნ</c:v>
                </c:pt>
                <c:pt idx="6">
                  <c:v>ივლ</c:v>
                </c:pt>
                <c:pt idx="7">
                  <c:v>აგვ</c:v>
                </c:pt>
                <c:pt idx="8">
                  <c:v>სექ</c:v>
                </c:pt>
              </c:strCache>
            </c:strRef>
          </c:cat>
          <c:val>
            <c:numRef>
              <c:f>[GDP_Monthly_SA.xlsx]Sheet1!$O$147:$O$155</c:f>
              <c:numCache>
                <c:formatCode>0.0%</c:formatCode>
                <c:ptCount val="9"/>
                <c:pt idx="0">
                  <c:v>-0.115</c:v>
                </c:pt>
                <c:pt idx="1">
                  <c:v>-5.0999999999999997E-2</c:v>
                </c:pt>
                <c:pt idx="2">
                  <c:v>0.04</c:v>
                </c:pt>
                <c:pt idx="3">
                  <c:v>0.44799999999999995</c:v>
                </c:pt>
                <c:pt idx="4">
                  <c:v>0.25800000000000001</c:v>
                </c:pt>
                <c:pt idx="5">
                  <c:v>0.187</c:v>
                </c:pt>
                <c:pt idx="6">
                  <c:v>9.9000000000000005E-2</c:v>
                </c:pt>
                <c:pt idx="7">
                  <c:v>0.10300000000000001</c:v>
                </c:pt>
                <c:pt idx="8">
                  <c:v>6.9000000000000006E-2</c:v>
                </c:pt>
              </c:numCache>
            </c:numRef>
          </c:val>
          <c:smooth val="1"/>
          <c:extLst>
            <c:ext xmlns:c16="http://schemas.microsoft.com/office/drawing/2014/chart" uri="{C3380CC4-5D6E-409C-BE32-E72D297353CC}">
              <c16:uniqueId val="{00000002-DB0F-4701-9CC0-BBC447B6A8A0}"/>
            </c:ext>
          </c:extLst>
        </c:ser>
        <c:ser>
          <c:idx val="1"/>
          <c:order val="1"/>
          <c:tx>
            <c:strRef>
              <c:f>[GDP_Monthly_SA.xlsx]Sheet1!$P$146</c:f>
              <c:strCache>
                <c:ptCount val="1"/>
                <c:pt idx="0">
                  <c:v>2021/2019</c:v>
                </c:pt>
              </c:strCache>
            </c:strRef>
          </c:tx>
          <c:spPr>
            <a:ln w="28575" cap="rnd">
              <a:solidFill>
                <a:srgbClr val="ECB06E"/>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[GDP_Monthly_SA.xlsx]Sheet1!$N$147:$N$155</c:f>
              <c:strCache>
                <c:ptCount val="9"/>
                <c:pt idx="0">
                  <c:v>იანვ</c:v>
                </c:pt>
                <c:pt idx="1">
                  <c:v>თებ</c:v>
                </c:pt>
                <c:pt idx="2">
                  <c:v>მარ</c:v>
                </c:pt>
                <c:pt idx="3">
                  <c:v>აპრ</c:v>
                </c:pt>
                <c:pt idx="4">
                  <c:v>მაი</c:v>
                </c:pt>
                <c:pt idx="5">
                  <c:v>ივნ</c:v>
                </c:pt>
                <c:pt idx="6">
                  <c:v>ივლ</c:v>
                </c:pt>
                <c:pt idx="7">
                  <c:v>აგვ</c:v>
                </c:pt>
                <c:pt idx="8">
                  <c:v>სექ</c:v>
                </c:pt>
              </c:strCache>
            </c:strRef>
          </c:cat>
          <c:val>
            <c:numRef>
              <c:f>[GDP_Monthly_SA.xlsx]Sheet1!$P$147:$P$155</c:f>
              <c:numCache>
                <c:formatCode>0.0%</c:formatCode>
                <c:ptCount val="9"/>
                <c:pt idx="0">
                  <c:v>-6.9509805160547389E-2</c:v>
                </c:pt>
                <c:pt idx="1">
                  <c:v>-3.0313585044149716E-2</c:v>
                </c:pt>
                <c:pt idx="2">
                  <c:v>1.1581876185068118E-2</c:v>
                </c:pt>
                <c:pt idx="3">
                  <c:v>0.20737227807348946</c:v>
                </c:pt>
                <c:pt idx="4">
                  <c:v>8.7648109137895558E-2</c:v>
                </c:pt>
                <c:pt idx="5">
                  <c:v>9.5171624741004601E-2</c:v>
                </c:pt>
                <c:pt idx="6">
                  <c:v>3.9036909859665458E-2</c:v>
                </c:pt>
                <c:pt idx="7">
                  <c:v>4.4613457750714014E-2</c:v>
                </c:pt>
                <c:pt idx="8">
                  <c:v>6.1314394981421438E-2</c:v>
                </c:pt>
              </c:numCache>
            </c:numRef>
          </c:val>
          <c:smooth val="1"/>
          <c:extLst>
            <c:ext xmlns:c16="http://schemas.microsoft.com/office/drawing/2014/chart" uri="{C3380CC4-5D6E-409C-BE32-E72D297353CC}">
              <c16:uniqueId val="{00000003-DB0F-4701-9CC0-BBC447B6A8A0}"/>
            </c:ext>
          </c:extLst>
        </c:ser>
        <c:dLbls>
          <c:showLegendKey val="0"/>
          <c:showVal val="0"/>
          <c:showCatName val="0"/>
          <c:showSerName val="0"/>
          <c:showPercent val="0"/>
          <c:showBubbleSize val="0"/>
        </c:dLbls>
        <c:smooth val="0"/>
        <c:axId val="-2057008304"/>
        <c:axId val="-2056999600"/>
      </c:lineChart>
      <c:catAx>
        <c:axId val="-205700830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999600"/>
        <c:crosses val="autoZero"/>
        <c:auto val="1"/>
        <c:lblAlgn val="ctr"/>
        <c:lblOffset val="100"/>
        <c:noMultiLvlLbl val="0"/>
      </c:catAx>
      <c:valAx>
        <c:axId val="-20569996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8304"/>
        <c:crosses val="autoZero"/>
        <c:crossBetween val="between"/>
      </c:valAx>
      <c:spPr>
        <a:noFill/>
        <a:ln>
          <a:noFill/>
        </a:ln>
        <a:effectLst/>
      </c:spPr>
    </c:plotArea>
    <c:legend>
      <c:legendPos val="b"/>
      <c:layout>
        <c:manualLayout>
          <c:xMode val="edge"/>
          <c:yMode val="edge"/>
          <c:x val="0.30648392850807366"/>
          <c:y val="0.92548173198825046"/>
          <c:w val="0.35730795593226"/>
          <c:h val="6.72650342282273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'მიმდინარე ანგარიშის ტექსტი'!$D$5:$D$17</c:f>
              <c:numCache>
                <c:formatCode>General</c:formatCode>
                <c:ptCount val="13"/>
                <c:pt idx="12" formatCode="0.0%">
                  <c:v>0.09</c:v>
                </c:pt>
              </c:numCache>
            </c:numRef>
          </c:val>
          <c:extLst>
            <c:ext xmlns:c16="http://schemas.microsoft.com/office/drawing/2014/chart" uri="{C3380CC4-5D6E-409C-BE32-E72D297353CC}">
              <c16:uniqueId val="{00000000-7BC3-44C9-9659-4FA85B1EDD84}"/>
            </c:ext>
          </c:extLst>
        </c:ser>
        <c:dLbls>
          <c:showLegendKey val="0"/>
          <c:showVal val="0"/>
          <c:showCatName val="0"/>
          <c:showSerName val="0"/>
          <c:showPercent val="0"/>
          <c:showBubbleSize val="0"/>
        </c:dLbls>
        <c:gapWidth val="50"/>
        <c:axId val="-2057005584"/>
        <c:axId val="-2056996336"/>
      </c:barChart>
      <c:lineChart>
        <c:grouping val="standard"/>
        <c:varyColors val="0"/>
        <c:ser>
          <c:idx val="0"/>
          <c:order val="0"/>
          <c:tx>
            <c:strRef>
              <c:f>'მიმდინარე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4.8368110236220521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C3-44C9-9659-4FA85B1EDD84}"/>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C3-44C9-9659-4FA85B1EDD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'მიმდინარე ანგარიშის ტექსტი'!$B$5:$B$17</c:f>
              <c:strCache>
                <c:ptCount val="13"/>
                <c:pt idx="1">
                  <c:v>2010</c:v>
                </c:pt>
                <c:pt idx="2">
                  <c:v>2011</c:v>
                </c:pt>
                <c:pt idx="3">
                  <c:v>2012</c:v>
                </c:pt>
                <c:pt idx="4">
                  <c:v>2013</c:v>
                </c:pt>
                <c:pt idx="5">
                  <c:v>2014</c:v>
                </c:pt>
                <c:pt idx="6">
                  <c:v>2015</c:v>
                </c:pt>
                <c:pt idx="7">
                  <c:v>2016</c:v>
                </c:pt>
                <c:pt idx="8">
                  <c:v>2017</c:v>
                </c:pt>
                <c:pt idx="9">
                  <c:v>2018</c:v>
                </c:pt>
                <c:pt idx="10">
                  <c:v>2019</c:v>
                </c:pt>
                <c:pt idx="11">
                  <c:v>2020</c:v>
                </c:pt>
                <c:pt idx="12">
                  <c:v>2021 პ</c:v>
                </c:pt>
              </c:strCache>
            </c:strRef>
          </c:cat>
          <c:val>
            <c:numRef>
              <c:f>'მიმდინარე ანგარიშის ტექსტი'!$C$5:$C$16</c:f>
              <c:numCache>
                <c:formatCode>0.00%</c:formatCode>
                <c:ptCount val="12"/>
                <c:pt idx="1">
                  <c:v>9.8000000000000004E-2</c:v>
                </c:pt>
                <c:pt idx="2">
                  <c:v>0.122</c:v>
                </c:pt>
                <c:pt idx="3">
                  <c:v>0.114</c:v>
                </c:pt>
                <c:pt idx="4">
                  <c:v>5.6000000000000001E-2</c:v>
                </c:pt>
                <c:pt idx="5">
                  <c:v>0.10100000000000001</c:v>
                </c:pt>
                <c:pt idx="6">
                  <c:v>0.11799999999999999</c:v>
                </c:pt>
                <c:pt idx="7">
                  <c:v>0.125</c:v>
                </c:pt>
                <c:pt idx="8">
                  <c:v>0.08</c:v>
                </c:pt>
                <c:pt idx="9">
                  <c:v>6.8000000000000005E-2</c:v>
                </c:pt>
                <c:pt idx="10">
                  <c:v>5.5E-2</c:v>
                </c:pt>
                <c:pt idx="11">
                  <c:v>0.124</c:v>
                </c:pt>
              </c:numCache>
            </c:numRef>
          </c:val>
          <c:smooth val="0"/>
          <c:extLst>
            <c:ext xmlns:c16="http://schemas.microsoft.com/office/drawing/2014/chart" uri="{C3380CC4-5D6E-409C-BE32-E72D297353CC}">
              <c16:uniqueId val="{00000003-7BC3-44C9-9659-4FA85B1EDD84}"/>
            </c:ext>
          </c:extLst>
        </c:ser>
        <c:dLbls>
          <c:showLegendKey val="0"/>
          <c:showVal val="0"/>
          <c:showCatName val="0"/>
          <c:showSerName val="0"/>
          <c:showPercent val="0"/>
          <c:showBubbleSize val="0"/>
        </c:dLbls>
        <c:marker val="1"/>
        <c:smooth val="0"/>
        <c:axId val="-2057005584"/>
        <c:axId val="-2056996336"/>
      </c:lineChart>
      <c:catAx>
        <c:axId val="-205700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6996336"/>
        <c:crosses val="autoZero"/>
        <c:auto val="1"/>
        <c:lblAlgn val="ctr"/>
        <c:lblOffset val="100"/>
        <c:noMultiLvlLbl val="0"/>
      </c:catAx>
      <c:valAx>
        <c:axId val="-205699633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00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ეკონომიკური ზრდა</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377116016066641E-2"/>
          <c:y val="0.12773828271466067"/>
          <c:w val="0.87526637249306716"/>
          <c:h val="0.51768841394825649"/>
        </c:manualLayout>
      </c:layout>
      <c:areaChart>
        <c:grouping val="stacked"/>
        <c:varyColors val="0"/>
        <c:ser>
          <c:idx val="0"/>
          <c:order val="0"/>
          <c:tx>
            <c:strRef>
              <c:f>'[2022 FRS Chart sen 08_1.xlsx]Sheet1'!$A$8</c:f>
              <c:strCache>
                <c:ptCount val="1"/>
              </c:strCache>
            </c:strRef>
          </c:tx>
          <c:spPr>
            <a:noFill/>
            <a:ln>
              <a:noFill/>
            </a:ln>
            <a:effectLst/>
          </c:spPr>
          <c:val>
            <c:numRef>
              <c:f>'[2022 FRS Chart sen 08_1.xlsx]Sheet1'!$B$8:$I$8</c:f>
              <c:numCache>
                <c:formatCode>0.0%</c:formatCode>
                <c:ptCount val="8"/>
                <c:pt idx="0">
                  <c:v>4.8427379806944781E-2</c:v>
                </c:pt>
                <c:pt idx="1">
                  <c:v>4.9823504594493251E-2</c:v>
                </c:pt>
                <c:pt idx="2">
                  <c:v>-6.1596729395683836E-2</c:v>
                </c:pt>
                <c:pt idx="3">
                  <c:v>0.1</c:v>
                </c:pt>
                <c:pt idx="4">
                  <c:v>1.47565628804949E-2</c:v>
                </c:pt>
                <c:pt idx="5">
                  <c:v>9.7574296392611004E-3</c:v>
                </c:pt>
                <c:pt idx="6">
                  <c:v>6.7564924541581306E-3</c:v>
                </c:pt>
                <c:pt idx="7">
                  <c:v>6.7570031172406175E-3</c:v>
                </c:pt>
              </c:numCache>
            </c:numRef>
          </c:val>
          <c:extLst>
            <c:ext xmlns:c16="http://schemas.microsoft.com/office/drawing/2014/chart" uri="{C3380CC4-5D6E-409C-BE32-E72D297353CC}">
              <c16:uniqueId val="{00000000-DC75-4A66-9678-6767B53FC730}"/>
            </c:ext>
          </c:extLst>
        </c:ser>
        <c:ser>
          <c:idx val="1"/>
          <c:order val="1"/>
          <c:tx>
            <c:strRef>
              <c:f>'[2022 FRS Chart sen 08_1.xlsx]Sheet1'!$A$9</c:f>
              <c:strCache>
                <c:ptCount val="1"/>
                <c:pt idx="0">
                  <c:v>-95%</c:v>
                </c:pt>
              </c:strCache>
            </c:strRef>
          </c:tx>
          <c:spPr>
            <a:solidFill>
              <a:schemeClr val="accent1">
                <a:lumMod val="20000"/>
                <a:lumOff val="80000"/>
              </a:schemeClr>
            </a:solidFill>
            <a:ln>
              <a:noFill/>
            </a:ln>
            <a:effectLst/>
          </c:spPr>
          <c:val>
            <c:numRef>
              <c:f>'[2022 FRS Chart sen 08_1.xlsx]Sheet1'!$B$9:$I$9</c:f>
              <c:numCache>
                <c:formatCode>General</c:formatCode>
                <c:ptCount val="8"/>
                <c:pt idx="3" formatCode="0.0%">
                  <c:v>0</c:v>
                </c:pt>
                <c:pt idx="4" formatCode="0.0%">
                  <c:v>2.7575066062253403E-2</c:v>
                </c:pt>
                <c:pt idx="5" formatCode="0.0%">
                  <c:v>2.7575066062253403E-2</c:v>
                </c:pt>
                <c:pt idx="6" formatCode="0.0%">
                  <c:v>2.7575066062253403E-2</c:v>
                </c:pt>
                <c:pt idx="7" formatCode="0.0%">
                  <c:v>2.7575066062253403E-2</c:v>
                </c:pt>
              </c:numCache>
            </c:numRef>
          </c:val>
          <c:extLst>
            <c:ext xmlns:c16="http://schemas.microsoft.com/office/drawing/2014/chart" uri="{C3380CC4-5D6E-409C-BE32-E72D297353CC}">
              <c16:uniqueId val="{00000001-DC75-4A66-9678-6767B53FC730}"/>
            </c:ext>
          </c:extLst>
        </c:ser>
        <c:ser>
          <c:idx val="2"/>
          <c:order val="2"/>
          <c:tx>
            <c:strRef>
              <c:f>'[2022 FRS Chart sen 08_1.xlsx]Sheet1'!$A$10</c:f>
              <c:strCache>
                <c:ptCount val="1"/>
                <c:pt idx="0">
                  <c:v>-60%</c:v>
                </c:pt>
              </c:strCache>
            </c:strRef>
          </c:tx>
          <c:spPr>
            <a:solidFill>
              <a:schemeClr val="accent1">
                <a:lumMod val="40000"/>
                <a:lumOff val="60000"/>
              </a:schemeClr>
            </a:solidFill>
            <a:ln>
              <a:noFill/>
            </a:ln>
            <a:effectLst/>
          </c:spPr>
          <c:val>
            <c:numRef>
              <c:f>'[2022 FRS Chart sen 08_1.xlsx]Sheet1'!$B$10:$I$10</c:f>
              <c:numCache>
                <c:formatCode>General</c:formatCode>
                <c:ptCount val="8"/>
                <c:pt idx="3" formatCode="0.0%">
                  <c:v>0</c:v>
                </c:pt>
                <c:pt idx="4" formatCode="0.0%">
                  <c:v>9.7107218978908262E-3</c:v>
                </c:pt>
                <c:pt idx="5" formatCode="0.0%">
                  <c:v>9.7107218978908262E-3</c:v>
                </c:pt>
                <c:pt idx="6" formatCode="0.0%">
                  <c:v>9.7107218978908262E-3</c:v>
                </c:pt>
                <c:pt idx="7" formatCode="0.0%">
                  <c:v>9.7107218978908262E-3</c:v>
                </c:pt>
              </c:numCache>
            </c:numRef>
          </c:val>
          <c:extLst>
            <c:ext xmlns:c16="http://schemas.microsoft.com/office/drawing/2014/chart" uri="{C3380CC4-5D6E-409C-BE32-E72D297353CC}">
              <c16:uniqueId val="{00000002-DC75-4A66-9678-6767B53FC730}"/>
            </c:ext>
          </c:extLst>
        </c:ser>
        <c:ser>
          <c:idx val="3"/>
          <c:order val="3"/>
          <c:tx>
            <c:strRef>
              <c:f>'[2022 FRS Chart sen 08_1.xlsx]Sheet1'!$A$11</c:f>
              <c:strCache>
                <c:ptCount val="1"/>
                <c:pt idx="0">
                  <c:v>-30%</c:v>
                </c:pt>
              </c:strCache>
            </c:strRef>
          </c:tx>
          <c:spPr>
            <a:solidFill>
              <a:schemeClr val="accent1">
                <a:lumMod val="60000"/>
                <a:lumOff val="40000"/>
              </a:schemeClr>
            </a:solidFill>
            <a:ln>
              <a:noFill/>
            </a:ln>
            <a:effectLst/>
          </c:spPr>
          <c:val>
            <c:numRef>
              <c:f>'[2022 FRS Chart sen 08_1.xlsx]Sheet1'!$B$11:$I$11</c:f>
              <c:numCache>
                <c:formatCode>General</c:formatCode>
                <c:ptCount val="8"/>
                <c:pt idx="3" formatCode="0.0%">
                  <c:v>0</c:v>
                </c:pt>
                <c:pt idx="4" formatCode="0.0%">
                  <c:v>7.9573552958198679E-3</c:v>
                </c:pt>
                <c:pt idx="5" formatCode="0.0%">
                  <c:v>7.9573552958198679E-3</c:v>
                </c:pt>
                <c:pt idx="6" formatCode="0.0%">
                  <c:v>7.9573552958198679E-3</c:v>
                </c:pt>
                <c:pt idx="7" formatCode="0.0%">
                  <c:v>7.9573552958198679E-3</c:v>
                </c:pt>
              </c:numCache>
            </c:numRef>
          </c:val>
          <c:extLst>
            <c:ext xmlns:c16="http://schemas.microsoft.com/office/drawing/2014/chart" uri="{C3380CC4-5D6E-409C-BE32-E72D297353CC}">
              <c16:uniqueId val="{00000003-DC75-4A66-9678-6767B53FC730}"/>
            </c:ext>
          </c:extLst>
        </c:ser>
        <c:ser>
          <c:idx val="4"/>
          <c:order val="4"/>
          <c:tx>
            <c:strRef>
              <c:f>'[2022 FRS Chart sen 08_1.xlsx]Sheet1'!$A$12</c:f>
              <c:strCache>
                <c:ptCount val="1"/>
                <c:pt idx="0">
                  <c:v>+30%</c:v>
                </c:pt>
              </c:strCache>
            </c:strRef>
          </c:tx>
          <c:spPr>
            <a:solidFill>
              <a:schemeClr val="accent1">
                <a:lumMod val="60000"/>
                <a:lumOff val="40000"/>
              </a:schemeClr>
            </a:solidFill>
            <a:ln>
              <a:noFill/>
            </a:ln>
            <a:effectLst/>
          </c:spPr>
          <c:val>
            <c:numRef>
              <c:f>'[2022 FRS Chart sen 08_1.xlsx]Sheet1'!$B$12:$I$12</c:f>
              <c:numCache>
                <c:formatCode>General</c:formatCode>
                <c:ptCount val="8"/>
                <c:pt idx="3" formatCode="0.0%">
                  <c:v>0</c:v>
                </c:pt>
                <c:pt idx="4" formatCode="0.0%">
                  <c:v>3.9786776479099339E-3</c:v>
                </c:pt>
                <c:pt idx="5" formatCode="0.0%">
                  <c:v>3.9786776479099339E-3</c:v>
                </c:pt>
                <c:pt idx="6" formatCode="0.0%">
                  <c:v>3.9786776479099339E-3</c:v>
                </c:pt>
                <c:pt idx="7" formatCode="0.0%">
                  <c:v>3.9786776479099339E-3</c:v>
                </c:pt>
              </c:numCache>
            </c:numRef>
          </c:val>
          <c:extLst>
            <c:ext xmlns:c16="http://schemas.microsoft.com/office/drawing/2014/chart" uri="{C3380CC4-5D6E-409C-BE32-E72D297353CC}">
              <c16:uniqueId val="{00000004-DC75-4A66-9678-6767B53FC730}"/>
            </c:ext>
          </c:extLst>
        </c:ser>
        <c:ser>
          <c:idx val="5"/>
          <c:order val="5"/>
          <c:tx>
            <c:strRef>
              <c:f>'[2022 FRS Chart sen 08_1.xlsx]Sheet1'!$A$13</c:f>
              <c:strCache>
                <c:ptCount val="1"/>
                <c:pt idx="0">
                  <c:v>+60%</c:v>
                </c:pt>
              </c:strCache>
            </c:strRef>
          </c:tx>
          <c:spPr>
            <a:solidFill>
              <a:schemeClr val="accent1">
                <a:lumMod val="40000"/>
                <a:lumOff val="60000"/>
              </a:schemeClr>
            </a:solidFill>
            <a:ln>
              <a:noFill/>
            </a:ln>
            <a:effectLst/>
          </c:spPr>
          <c:val>
            <c:numRef>
              <c:f>'[2022 FRS Chart sen 08_1.xlsx]Sheet1'!$B$13:$I$13</c:f>
              <c:numCache>
                <c:formatCode>General</c:formatCode>
                <c:ptCount val="8"/>
                <c:pt idx="3" formatCode="0.0%">
                  <c:v>0</c:v>
                </c:pt>
                <c:pt idx="4" formatCode="0.0%">
                  <c:v>4.8553609489454131E-3</c:v>
                </c:pt>
                <c:pt idx="5" formatCode="0.0%">
                  <c:v>4.8553609489454131E-3</c:v>
                </c:pt>
                <c:pt idx="6" formatCode="0.0%">
                  <c:v>4.8553609489454131E-3</c:v>
                </c:pt>
                <c:pt idx="7" formatCode="0.0%">
                  <c:v>4.8553609489454131E-3</c:v>
                </c:pt>
              </c:numCache>
            </c:numRef>
          </c:val>
          <c:extLst>
            <c:ext xmlns:c16="http://schemas.microsoft.com/office/drawing/2014/chart" uri="{C3380CC4-5D6E-409C-BE32-E72D297353CC}">
              <c16:uniqueId val="{00000005-DC75-4A66-9678-6767B53FC730}"/>
            </c:ext>
          </c:extLst>
        </c:ser>
        <c:ser>
          <c:idx val="6"/>
          <c:order val="6"/>
          <c:tx>
            <c:strRef>
              <c:f>'[2022 FRS Chart sen 08_1.xlsx]Sheet1'!$A$14</c:f>
              <c:strCache>
                <c:ptCount val="1"/>
                <c:pt idx="0">
                  <c:v>+95%</c:v>
                </c:pt>
              </c:strCache>
            </c:strRef>
          </c:tx>
          <c:spPr>
            <a:solidFill>
              <a:schemeClr val="accent1">
                <a:lumMod val="20000"/>
                <a:lumOff val="80000"/>
              </a:schemeClr>
            </a:solidFill>
            <a:ln>
              <a:noFill/>
            </a:ln>
            <a:effectLst/>
          </c:spPr>
          <c:val>
            <c:numRef>
              <c:f>'[2022 FRS Chart sen 08_1.xlsx]Sheet1'!$B$14:$I$14</c:f>
              <c:numCache>
                <c:formatCode>General</c:formatCode>
                <c:ptCount val="8"/>
                <c:pt idx="3" formatCode="0.0%">
                  <c:v>0</c:v>
                </c:pt>
                <c:pt idx="4" formatCode="0.0%">
                  <c:v>1.3787533031126701E-2</c:v>
                </c:pt>
                <c:pt idx="5" formatCode="0.0%">
                  <c:v>1.3787533031126701E-2</c:v>
                </c:pt>
                <c:pt idx="6" formatCode="0.0%">
                  <c:v>1.3787533031126701E-2</c:v>
                </c:pt>
                <c:pt idx="7" formatCode="0.0%">
                  <c:v>1.3787533031126701E-2</c:v>
                </c:pt>
              </c:numCache>
            </c:numRef>
          </c:val>
          <c:extLst>
            <c:ext xmlns:c16="http://schemas.microsoft.com/office/drawing/2014/chart" uri="{C3380CC4-5D6E-409C-BE32-E72D297353CC}">
              <c16:uniqueId val="{00000006-DC75-4A66-9678-6767B53FC730}"/>
            </c:ext>
          </c:extLst>
        </c:ser>
        <c:dLbls>
          <c:showLegendKey val="0"/>
          <c:showVal val="0"/>
          <c:showCatName val="0"/>
          <c:showSerName val="0"/>
          <c:showPercent val="0"/>
          <c:showBubbleSize val="0"/>
        </c:dLbls>
        <c:axId val="-2057000688"/>
        <c:axId val="-2057009936"/>
      </c:areaChart>
      <c:lineChart>
        <c:grouping val="standard"/>
        <c:varyColors val="0"/>
        <c:ser>
          <c:idx val="7"/>
          <c:order val="7"/>
          <c:tx>
            <c:strRef>
              <c:f>'[2022 FRS Chart sen 08_1.xlsx]Sheet1'!$A$5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'[2022 FRS Chart sen 08_1.xlsx]Sheet1'!$B$2:$I$3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08_1.xlsx]Sheet1'!$B$5:$I$5</c:f>
              <c:numCache>
                <c:formatCode>0.0%</c:formatCode>
                <c:ptCount val="8"/>
                <c:pt idx="0">
                  <c:v>4.8427379806944781E-2</c:v>
                </c:pt>
                <c:pt idx="1">
                  <c:v>4.9823504594493251E-2</c:v>
                </c:pt>
                <c:pt idx="2">
                  <c:v>-6.1596729395683836E-2</c:v>
                </c:pt>
                <c:pt idx="3">
                  <c:v>0.1</c:v>
                </c:pt>
                <c:pt idx="4">
                  <c:v>5.9999706136458997E-2</c:v>
                </c:pt>
                <c:pt idx="5">
                  <c:v>5.5000572895225197E-2</c:v>
                </c:pt>
                <c:pt idx="6">
                  <c:v>5.1999635710122227E-2</c:v>
                </c:pt>
                <c:pt idx="7">
                  <c:v>5.2000146373204714E-2</c:v>
                </c:pt>
              </c:numCache>
            </c:numRef>
          </c:val>
          <c:smooth val="0"/>
          <c:extLst>
            <c:ext xmlns:c16="http://schemas.microsoft.com/office/drawing/2014/chart" uri="{C3380CC4-5D6E-409C-BE32-E72D297353CC}">
              <c16:uniqueId val="{00000007-DC75-4A66-9678-6767B53FC730}"/>
            </c:ext>
          </c:extLst>
        </c:ser>
        <c:dLbls>
          <c:showLegendKey val="0"/>
          <c:showVal val="0"/>
          <c:showCatName val="0"/>
          <c:showSerName val="0"/>
          <c:showPercent val="0"/>
          <c:showBubbleSize val="0"/>
        </c:dLbls>
        <c:marker val="1"/>
        <c:smooth val="0"/>
        <c:axId val="-2057000688"/>
        <c:axId val="-2057009936"/>
      </c:lineChart>
      <c:catAx>
        <c:axId val="-20570006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7009936"/>
        <c:crosses val="autoZero"/>
        <c:auto val="1"/>
        <c:lblAlgn val="ctr"/>
        <c:lblOffset val="100"/>
        <c:noMultiLvlLbl val="0"/>
      </c:catAx>
      <c:valAx>
        <c:axId val="-2057009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7000688"/>
        <c:crosses val="autoZero"/>
        <c:crossBetween val="between"/>
      </c:valAx>
      <c:spPr>
        <a:noFill/>
        <a:ln>
          <a:noFill/>
        </a:ln>
        <a:effectLst/>
      </c:spPr>
    </c:plotArea>
    <c:legend>
      <c:legendPos val="b"/>
      <c:layout>
        <c:manualLayout>
          <c:xMode val="edge"/>
          <c:yMode val="edge"/>
          <c:x val="8.0357338950780829E-2"/>
          <c:y val="0.8166336707911509"/>
          <c:w val="0.84714201532115485"/>
          <c:h val="0.154794900637420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ინფლაცია</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377116016066641E-2"/>
          <c:y val="0.12773828271466067"/>
          <c:w val="0.87526637249306716"/>
          <c:h val="0.51532395950506182"/>
        </c:manualLayout>
      </c:layout>
      <c:areaChart>
        <c:grouping val="stacked"/>
        <c:varyColors val="0"/>
        <c:ser>
          <c:idx val="0"/>
          <c:order val="0"/>
          <c:tx>
            <c:strRef>
              <c:f>'[2022 FRS Chart sen 08_1.xlsx]Sheet1'!$A$33</c:f>
              <c:strCache>
                <c:ptCount val="1"/>
              </c:strCache>
            </c:strRef>
          </c:tx>
          <c:spPr>
            <a:noFill/>
            <a:ln>
              <a:noFill/>
            </a:ln>
            <a:effectLst/>
          </c:spPr>
          <c:val>
            <c:numRef>
              <c:f>'[2022 FRS Chart sen 08_1.xlsx]Sheet1'!$B$33:$I$33</c:f>
              <c:numCache>
                <c:formatCode>0.0%</c:formatCode>
                <c:ptCount val="8"/>
                <c:pt idx="0">
                  <c:v>2.6152447139766721E-2</c:v>
                </c:pt>
                <c:pt idx="1">
                  <c:v>4.8528982169673052E-2</c:v>
                </c:pt>
                <c:pt idx="2">
                  <c:v>5.2024648897532888E-2</c:v>
                </c:pt>
                <c:pt idx="3">
                  <c:v>8.9041280799486922E-2</c:v>
                </c:pt>
                <c:pt idx="4">
                  <c:v>2.4640416996121531E-2</c:v>
                </c:pt>
                <c:pt idx="5">
                  <c:v>9.6410156176786194E-3</c:v>
                </c:pt>
                <c:pt idx="6">
                  <c:v>9.640592494082903E-3</c:v>
                </c:pt>
                <c:pt idx="7">
                  <c:v>9.6404301337159742E-3</c:v>
                </c:pt>
              </c:numCache>
            </c:numRef>
          </c:val>
          <c:extLst>
            <c:ext xmlns:c16="http://schemas.microsoft.com/office/drawing/2014/chart" uri="{C3380CC4-5D6E-409C-BE32-E72D297353CC}">
              <c16:uniqueId val="{00000000-C469-4B67-9643-BB5DBC48C94A}"/>
            </c:ext>
          </c:extLst>
        </c:ser>
        <c:ser>
          <c:idx val="1"/>
          <c:order val="1"/>
          <c:tx>
            <c:strRef>
              <c:f>'[2022 FRS Chart sen 08_1.xlsx]Sheet1'!$A$34</c:f>
              <c:strCache>
                <c:ptCount val="1"/>
                <c:pt idx="0">
                  <c:v>-95%</c:v>
                </c:pt>
              </c:strCache>
            </c:strRef>
          </c:tx>
          <c:spPr>
            <a:solidFill>
              <a:schemeClr val="accent1">
                <a:lumMod val="20000"/>
                <a:lumOff val="80000"/>
              </a:schemeClr>
            </a:solidFill>
            <a:ln>
              <a:noFill/>
            </a:ln>
            <a:effectLst/>
          </c:spPr>
          <c:val>
            <c:numRef>
              <c:f>'[2022 FRS Chart sen 08_1.xlsx]Sheet1'!$B$34:$I$34</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1-C469-4B67-9643-BB5DBC48C94A}"/>
            </c:ext>
          </c:extLst>
        </c:ser>
        <c:ser>
          <c:idx val="2"/>
          <c:order val="2"/>
          <c:tx>
            <c:strRef>
              <c:f>'[2022 FRS Chart sen 08_1.xlsx]Sheet1'!$A$35</c:f>
              <c:strCache>
                <c:ptCount val="1"/>
                <c:pt idx="0">
                  <c:v>-60%</c:v>
                </c:pt>
              </c:strCache>
            </c:strRef>
          </c:tx>
          <c:spPr>
            <a:solidFill>
              <a:schemeClr val="accent1">
                <a:lumMod val="40000"/>
                <a:lumOff val="60000"/>
              </a:schemeClr>
            </a:solidFill>
            <a:ln>
              <a:noFill/>
            </a:ln>
            <a:effectLst/>
          </c:spPr>
          <c:val>
            <c:numRef>
              <c:f>'[2022 FRS Chart sen 08_1.xlsx]Sheet1'!$B$35:$I$35</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2-C469-4B67-9643-BB5DBC48C94A}"/>
            </c:ext>
          </c:extLst>
        </c:ser>
        <c:ser>
          <c:idx val="3"/>
          <c:order val="3"/>
          <c:tx>
            <c:strRef>
              <c:f>'[2022 FRS Chart sen 08_1.xlsx]Sheet1'!$A$36</c:f>
              <c:strCache>
                <c:ptCount val="1"/>
                <c:pt idx="0">
                  <c:v>-30%</c:v>
                </c:pt>
              </c:strCache>
            </c:strRef>
          </c:tx>
          <c:spPr>
            <a:solidFill>
              <a:schemeClr val="accent1">
                <a:lumMod val="60000"/>
                <a:lumOff val="40000"/>
              </a:schemeClr>
            </a:solidFill>
            <a:ln>
              <a:noFill/>
            </a:ln>
            <a:effectLst/>
          </c:spPr>
          <c:val>
            <c:numRef>
              <c:f>'[2022 FRS Chart sen 08_1.xlsx]Sheet1'!$B$36:$I$36</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3-C469-4B67-9643-BB5DBC48C94A}"/>
            </c:ext>
          </c:extLst>
        </c:ser>
        <c:ser>
          <c:idx val="4"/>
          <c:order val="4"/>
          <c:tx>
            <c:strRef>
              <c:f>'[2022 FRS Chart sen 08_1.xlsx]Sheet1'!$A$37</c:f>
              <c:strCache>
                <c:ptCount val="1"/>
                <c:pt idx="0">
                  <c:v>+30%</c:v>
                </c:pt>
              </c:strCache>
            </c:strRef>
          </c:tx>
          <c:spPr>
            <a:solidFill>
              <a:schemeClr val="accent1">
                <a:lumMod val="60000"/>
                <a:lumOff val="40000"/>
              </a:schemeClr>
            </a:solidFill>
            <a:ln>
              <a:noFill/>
            </a:ln>
            <a:effectLst/>
          </c:spPr>
          <c:val>
            <c:numRef>
              <c:f>'[2022 FRS Chart sen 08_1.xlsx]Sheet1'!$B$37:$I$37</c:f>
              <c:numCache>
                <c:formatCode>General</c:formatCode>
                <c:ptCount val="8"/>
                <c:pt idx="3" formatCode="0.0%">
                  <c:v>0</c:v>
                </c:pt>
                <c:pt idx="4" formatCode="0.0%">
                  <c:v>3.5808098831189403E-3</c:v>
                </c:pt>
                <c:pt idx="5" formatCode="0.0%">
                  <c:v>3.5808098831189403E-3</c:v>
                </c:pt>
                <c:pt idx="6" formatCode="0.0%">
                  <c:v>3.5808098831189403E-3</c:v>
                </c:pt>
                <c:pt idx="7" formatCode="0.0%">
                  <c:v>3.5808098831189403E-3</c:v>
                </c:pt>
              </c:numCache>
            </c:numRef>
          </c:val>
          <c:extLst>
            <c:ext xmlns:c16="http://schemas.microsoft.com/office/drawing/2014/chart" uri="{C3380CC4-5D6E-409C-BE32-E72D297353CC}">
              <c16:uniqueId val="{00000004-C469-4B67-9643-BB5DBC48C94A}"/>
            </c:ext>
          </c:extLst>
        </c:ser>
        <c:ser>
          <c:idx val="5"/>
          <c:order val="5"/>
          <c:tx>
            <c:strRef>
              <c:f>'[2022 FRS Chart sen 08_1.xlsx]Sheet1'!$A$38</c:f>
              <c:strCache>
                <c:ptCount val="1"/>
                <c:pt idx="0">
                  <c:v>+60%</c:v>
                </c:pt>
              </c:strCache>
            </c:strRef>
          </c:tx>
          <c:spPr>
            <a:solidFill>
              <a:schemeClr val="accent1">
                <a:lumMod val="40000"/>
                <a:lumOff val="60000"/>
              </a:schemeClr>
            </a:solidFill>
            <a:ln>
              <a:noFill/>
            </a:ln>
            <a:effectLst/>
          </c:spPr>
          <c:val>
            <c:numRef>
              <c:f>'[2022 FRS Chart sen 08_1.xlsx]Sheet1'!$B$38:$I$38</c:f>
              <c:numCache>
                <c:formatCode>General</c:formatCode>
                <c:ptCount val="8"/>
                <c:pt idx="3" formatCode="0.0%">
                  <c:v>0</c:v>
                </c:pt>
                <c:pt idx="4" formatCode="0.0%">
                  <c:v>4.3698248540508713E-3</c:v>
                </c:pt>
                <c:pt idx="5" formatCode="0.0%">
                  <c:v>4.3698248540508713E-3</c:v>
                </c:pt>
                <c:pt idx="6" formatCode="0.0%">
                  <c:v>4.3698248540508713E-3</c:v>
                </c:pt>
                <c:pt idx="7" formatCode="0.0%">
                  <c:v>4.3698248540508713E-3</c:v>
                </c:pt>
              </c:numCache>
            </c:numRef>
          </c:val>
          <c:extLst>
            <c:ext xmlns:c16="http://schemas.microsoft.com/office/drawing/2014/chart" uri="{C3380CC4-5D6E-409C-BE32-E72D297353CC}">
              <c16:uniqueId val="{00000005-C469-4B67-9643-BB5DBC48C94A}"/>
            </c:ext>
          </c:extLst>
        </c:ser>
        <c:ser>
          <c:idx val="6"/>
          <c:order val="6"/>
          <c:tx>
            <c:strRef>
              <c:f>'[2022 FRS Chart sen 08_1.xlsx]Sheet1'!$A$39</c:f>
              <c:strCache>
                <c:ptCount val="1"/>
                <c:pt idx="0">
                  <c:v>+95%</c:v>
                </c:pt>
              </c:strCache>
            </c:strRef>
          </c:tx>
          <c:spPr>
            <a:solidFill>
              <a:schemeClr val="accent1">
                <a:lumMod val="20000"/>
                <a:lumOff val="80000"/>
              </a:schemeClr>
            </a:solidFill>
            <a:ln>
              <a:noFill/>
            </a:ln>
            <a:effectLst/>
          </c:spPr>
          <c:val>
            <c:numRef>
              <c:f>'[2022 FRS Chart sen 08_1.xlsx]Sheet1'!$B$39:$I$39</c:f>
              <c:numCache>
                <c:formatCode>General</c:formatCode>
                <c:ptCount val="8"/>
                <c:pt idx="3" formatCode="0.0%">
                  <c:v>0</c:v>
                </c:pt>
                <c:pt idx="4" formatCode="0.0%">
                  <c:v>1.2408779728014031E-2</c:v>
                </c:pt>
                <c:pt idx="5" formatCode="0.0%">
                  <c:v>1.2408779728014031E-2</c:v>
                </c:pt>
                <c:pt idx="6" formatCode="0.0%">
                  <c:v>1.2408779728014031E-2</c:v>
                </c:pt>
                <c:pt idx="7" formatCode="0.0%">
                  <c:v>1.2408779728014031E-2</c:v>
                </c:pt>
              </c:numCache>
            </c:numRef>
          </c:val>
          <c:extLst>
            <c:ext xmlns:c16="http://schemas.microsoft.com/office/drawing/2014/chart" uri="{C3380CC4-5D6E-409C-BE32-E72D297353CC}">
              <c16:uniqueId val="{00000006-C469-4B67-9643-BB5DBC48C94A}"/>
            </c:ext>
          </c:extLst>
        </c:ser>
        <c:dLbls>
          <c:showLegendKey val="0"/>
          <c:showVal val="0"/>
          <c:showCatName val="0"/>
          <c:showSerName val="0"/>
          <c:showPercent val="0"/>
          <c:showBubbleSize val="0"/>
        </c:dLbls>
        <c:axId val="-2056997968"/>
        <c:axId val="-2057003408"/>
      </c:areaChart>
      <c:lineChart>
        <c:grouping val="standard"/>
        <c:varyColors val="0"/>
        <c:ser>
          <c:idx val="7"/>
          <c:order val="7"/>
          <c:tx>
            <c:strRef>
              <c:f>'[2022 FRS Chart sen 08_1.xlsx]Sheet1'!$A$30</c:f>
              <c:strCache>
                <c:ptCount val="1"/>
                <c:pt idx="0">
                  <c:v>ინფლაცია</c:v>
                </c:pt>
              </c:strCache>
            </c:strRef>
          </c:tx>
          <c:spPr>
            <a:ln w="28575" cap="rnd">
              <a:solidFill>
                <a:schemeClr val="accent1">
                  <a:lumMod val="50000"/>
                </a:schemeClr>
              </a:solidFill>
              <a:round/>
            </a:ln>
            <a:effectLst/>
          </c:spPr>
          <c:marker>
            <c:symbol val="none"/>
          </c:marker>
          <c:cat>
            <c:multiLvlStrRef>
              <c:f>'[2022 FRS Chart sen 08_1.xlsx]Sheet1'!$B$2:$I$3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08_1.xlsx]Sheet1'!$B$30:$I$30</c:f>
              <c:numCache>
                <c:formatCode>0.0%</c:formatCode>
                <c:ptCount val="8"/>
                <c:pt idx="0">
                  <c:v>2.6152447139766721E-2</c:v>
                </c:pt>
                <c:pt idx="1">
                  <c:v>4.8528982169673052E-2</c:v>
                </c:pt>
                <c:pt idx="2">
                  <c:v>5.2024648897532888E-2</c:v>
                </c:pt>
                <c:pt idx="3">
                  <c:v>8.9041280799486922E-2</c:v>
                </c:pt>
                <c:pt idx="4">
                  <c:v>4.4999831461305373E-2</c:v>
                </c:pt>
                <c:pt idx="5">
                  <c:v>3.0000430082862461E-2</c:v>
                </c:pt>
                <c:pt idx="6">
                  <c:v>3.0000006959266745E-2</c:v>
                </c:pt>
                <c:pt idx="7">
                  <c:v>2.9999844598899816E-2</c:v>
                </c:pt>
              </c:numCache>
            </c:numRef>
          </c:val>
          <c:smooth val="0"/>
          <c:extLst>
            <c:ext xmlns:c16="http://schemas.microsoft.com/office/drawing/2014/chart" uri="{C3380CC4-5D6E-409C-BE32-E72D297353CC}">
              <c16:uniqueId val="{00000007-C469-4B67-9643-BB5DBC48C94A}"/>
            </c:ext>
          </c:extLst>
        </c:ser>
        <c:dLbls>
          <c:showLegendKey val="0"/>
          <c:showVal val="0"/>
          <c:showCatName val="0"/>
          <c:showSerName val="0"/>
          <c:showPercent val="0"/>
          <c:showBubbleSize val="0"/>
        </c:dLbls>
        <c:marker val="1"/>
        <c:smooth val="0"/>
        <c:axId val="-2056997968"/>
        <c:axId val="-2057003408"/>
      </c:lineChart>
      <c:catAx>
        <c:axId val="-205699796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7003408"/>
        <c:crosses val="autoZero"/>
        <c:auto val="1"/>
        <c:lblAlgn val="ctr"/>
        <c:lblOffset val="100"/>
        <c:noMultiLvlLbl val="0"/>
      </c:catAx>
      <c:valAx>
        <c:axId val="-2057003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6997968"/>
        <c:crosses val="autoZero"/>
        <c:crossBetween val="between"/>
      </c:valAx>
      <c:spPr>
        <a:noFill/>
        <a:ln>
          <a:noFill/>
        </a:ln>
        <a:effectLst/>
      </c:spPr>
    </c:plotArea>
    <c:legend>
      <c:legendPos val="b"/>
      <c:layout>
        <c:manualLayout>
          <c:xMode val="edge"/>
          <c:yMode val="edge"/>
          <c:x val="7.8235948261328861E-2"/>
          <c:y val="0.85236445444319464"/>
          <c:w val="0.85138479670005895"/>
          <c:h val="0.1190641169853768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შემოსავლები</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56257066275673"/>
          <c:y val="0.13726209223847022"/>
          <c:w val="0.83824906388763865"/>
          <c:h val="0.55222047244094485"/>
        </c:manualLayout>
      </c:layout>
      <c:areaChart>
        <c:grouping val="stacked"/>
        <c:varyColors val="0"/>
        <c:ser>
          <c:idx val="0"/>
          <c:order val="0"/>
          <c:tx>
            <c:strRef>
              <c:f>'[2022 FRS Chart sen 08_1.xlsx]Sheet1'!$A$61</c:f>
              <c:strCache>
                <c:ptCount val="1"/>
              </c:strCache>
            </c:strRef>
          </c:tx>
          <c:spPr>
            <a:noFill/>
            <a:ln>
              <a:noFill/>
            </a:ln>
            <a:effectLst/>
          </c:spPr>
          <c:val>
            <c:numRef>
              <c:f>'[2022 FRS Chart sen 08_1.xlsx]Sheet1'!$B$61:$I$61</c:f>
              <c:numCache>
                <c:formatCode>0.0</c:formatCode>
                <c:ptCount val="8"/>
                <c:pt idx="0">
                  <c:v>11822.151901180001</c:v>
                </c:pt>
                <c:pt idx="1">
                  <c:v>12907.343685770002</c:v>
                </c:pt>
                <c:pt idx="2">
                  <c:v>12407.017042519999</c:v>
                </c:pt>
                <c:pt idx="3">
                  <c:v>14579</c:v>
                </c:pt>
                <c:pt idx="4">
                  <c:v>15222.611231760575</c:v>
                </c:pt>
                <c:pt idx="5">
                  <c:v>16437.700543101389</c:v>
                </c:pt>
                <c:pt idx="6">
                  <c:v>17795.120518877138</c:v>
                </c:pt>
                <c:pt idx="7">
                  <c:v>19172.027989532613</c:v>
                </c:pt>
              </c:numCache>
            </c:numRef>
          </c:val>
          <c:extLst>
            <c:ext xmlns:c16="http://schemas.microsoft.com/office/drawing/2014/chart" uri="{C3380CC4-5D6E-409C-BE32-E72D297353CC}">
              <c16:uniqueId val="{00000000-237C-4FDF-A4DC-0BC820D2C52A}"/>
            </c:ext>
          </c:extLst>
        </c:ser>
        <c:ser>
          <c:idx val="1"/>
          <c:order val="1"/>
          <c:tx>
            <c:strRef>
              <c:f>'[2022 FRS Chart sen 08_1.xlsx]Sheet1'!$A$62</c:f>
              <c:strCache>
                <c:ptCount val="1"/>
                <c:pt idx="0">
                  <c:v>-95%</c:v>
                </c:pt>
              </c:strCache>
            </c:strRef>
          </c:tx>
          <c:spPr>
            <a:solidFill>
              <a:schemeClr val="accent1">
                <a:lumMod val="20000"/>
                <a:lumOff val="80000"/>
              </a:schemeClr>
            </a:solidFill>
            <a:ln>
              <a:noFill/>
            </a:ln>
            <a:effectLst/>
          </c:spPr>
          <c:val>
            <c:numRef>
              <c:f>'[2022 FRS Chart sen 08_1.xlsx]Sheet1'!$B$62:$I$62</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c:ext xmlns:c16="http://schemas.microsoft.com/office/drawing/2014/chart" uri="{C3380CC4-5D6E-409C-BE32-E72D297353CC}">
              <c16:uniqueId val="{00000001-237C-4FDF-A4DC-0BC820D2C52A}"/>
            </c:ext>
          </c:extLst>
        </c:ser>
        <c:ser>
          <c:idx val="2"/>
          <c:order val="2"/>
          <c:tx>
            <c:strRef>
              <c:f>'[2022 FRS Chart sen 08_1.xlsx]Sheet1'!$A$63</c:f>
              <c:strCache>
                <c:ptCount val="1"/>
                <c:pt idx="0">
                  <c:v>-60%</c:v>
                </c:pt>
              </c:strCache>
            </c:strRef>
          </c:tx>
          <c:spPr>
            <a:solidFill>
              <a:schemeClr val="accent1">
                <a:lumMod val="40000"/>
                <a:lumOff val="60000"/>
              </a:schemeClr>
            </a:solidFill>
            <a:ln>
              <a:noFill/>
            </a:ln>
            <a:effectLst/>
          </c:spPr>
          <c:val>
            <c:numRef>
              <c:f>'[2022 FRS Chart sen 08_1.xlsx]Sheet1'!$B$63:$I$63</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c:ext xmlns:c16="http://schemas.microsoft.com/office/drawing/2014/chart" uri="{C3380CC4-5D6E-409C-BE32-E72D297353CC}">
              <c16:uniqueId val="{00000002-237C-4FDF-A4DC-0BC820D2C52A}"/>
            </c:ext>
          </c:extLst>
        </c:ser>
        <c:ser>
          <c:idx val="3"/>
          <c:order val="3"/>
          <c:tx>
            <c:strRef>
              <c:f>'[2022 FRS Chart sen 08_1.xlsx]Sheet1'!$A$64</c:f>
              <c:strCache>
                <c:ptCount val="1"/>
                <c:pt idx="0">
                  <c:v>-30%</c:v>
                </c:pt>
              </c:strCache>
            </c:strRef>
          </c:tx>
          <c:spPr>
            <a:solidFill>
              <a:schemeClr val="accent1">
                <a:lumMod val="60000"/>
                <a:lumOff val="40000"/>
              </a:schemeClr>
            </a:solidFill>
            <a:ln>
              <a:noFill/>
            </a:ln>
            <a:effectLst/>
          </c:spPr>
          <c:val>
            <c:numRef>
              <c:f>'[2022 FRS Chart sen 08_1.xlsx]Sheet1'!$B$64:$I$64</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c:ext xmlns:c16="http://schemas.microsoft.com/office/drawing/2014/chart" uri="{C3380CC4-5D6E-409C-BE32-E72D297353CC}">
              <c16:uniqueId val="{00000003-237C-4FDF-A4DC-0BC820D2C52A}"/>
            </c:ext>
          </c:extLst>
        </c:ser>
        <c:ser>
          <c:idx val="4"/>
          <c:order val="4"/>
          <c:tx>
            <c:strRef>
              <c:f>'[2022 FRS Chart sen 08_1.xlsx]Sheet1'!$A$65</c:f>
              <c:strCache>
                <c:ptCount val="1"/>
                <c:pt idx="0">
                  <c:v>+30%</c:v>
                </c:pt>
              </c:strCache>
            </c:strRef>
          </c:tx>
          <c:spPr>
            <a:solidFill>
              <a:schemeClr val="accent1">
                <a:lumMod val="60000"/>
                <a:lumOff val="40000"/>
              </a:schemeClr>
            </a:solidFill>
            <a:ln>
              <a:noFill/>
            </a:ln>
            <a:effectLst/>
          </c:spPr>
          <c:val>
            <c:numRef>
              <c:f>'[2022 FRS Chart sen 08_1.xlsx]Sheet1'!$B$65:$I$65</c:f>
              <c:numCache>
                <c:formatCode>General</c:formatCode>
                <c:ptCount val="8"/>
                <c:pt idx="3" formatCode="0.0">
                  <c:v>0</c:v>
                </c:pt>
                <c:pt idx="4" formatCode="0.0">
                  <c:v>287.63186063467998</c:v>
                </c:pt>
                <c:pt idx="5" formatCode="0.0">
                  <c:v>314.87752263051806</c:v>
                </c:pt>
                <c:pt idx="6" formatCode="0.0">
                  <c:v>340.65798897485143</c:v>
                </c:pt>
                <c:pt idx="7" formatCode="0.0">
                  <c:v>368.28739268894071</c:v>
                </c:pt>
              </c:numCache>
            </c:numRef>
          </c:val>
          <c:extLst>
            <c:ext xmlns:c16="http://schemas.microsoft.com/office/drawing/2014/chart" uri="{C3380CC4-5D6E-409C-BE32-E72D297353CC}">
              <c16:uniqueId val="{00000004-237C-4FDF-A4DC-0BC820D2C52A}"/>
            </c:ext>
          </c:extLst>
        </c:ser>
        <c:ser>
          <c:idx val="5"/>
          <c:order val="5"/>
          <c:tx>
            <c:strRef>
              <c:f>'[2022 FRS Chart sen 08_1.xlsx]Sheet1'!$A$66</c:f>
              <c:strCache>
                <c:ptCount val="1"/>
                <c:pt idx="0">
                  <c:v>+60%</c:v>
                </c:pt>
              </c:strCache>
            </c:strRef>
          </c:tx>
          <c:spPr>
            <a:solidFill>
              <a:schemeClr val="accent1">
                <a:lumMod val="40000"/>
                <a:lumOff val="60000"/>
              </a:schemeClr>
            </a:solidFill>
            <a:ln>
              <a:noFill/>
            </a:ln>
            <a:effectLst/>
          </c:spPr>
          <c:val>
            <c:numRef>
              <c:f>'[2022 FRS Chart sen 08_1.xlsx]Sheet1'!$B$66:$I$66</c:f>
              <c:numCache>
                <c:formatCode>General</c:formatCode>
                <c:ptCount val="8"/>
                <c:pt idx="3" formatCode="0.0">
                  <c:v>0</c:v>
                </c:pt>
                <c:pt idx="4" formatCode="0.0">
                  <c:v>351.0102168070261</c:v>
                </c:pt>
                <c:pt idx="5" formatCode="0.0">
                  <c:v>384.25933497880141</c:v>
                </c:pt>
                <c:pt idx="6" formatCode="0.0">
                  <c:v>415.72040838333652</c:v>
                </c:pt>
                <c:pt idx="7" formatCode="0.0">
                  <c:v>449.4378239941509</c:v>
                </c:pt>
              </c:numCache>
            </c:numRef>
          </c:val>
          <c:extLst>
            <c:ext xmlns:c16="http://schemas.microsoft.com/office/drawing/2014/chart" uri="{C3380CC4-5D6E-409C-BE32-E72D297353CC}">
              <c16:uniqueId val="{00000005-237C-4FDF-A4DC-0BC820D2C52A}"/>
            </c:ext>
          </c:extLst>
        </c:ser>
        <c:ser>
          <c:idx val="6"/>
          <c:order val="6"/>
          <c:tx>
            <c:strRef>
              <c:f>'[2022 FRS Chart sen 08_1.xlsx]Sheet1'!$A$67</c:f>
              <c:strCache>
                <c:ptCount val="1"/>
                <c:pt idx="0">
                  <c:v>+95%</c:v>
                </c:pt>
              </c:strCache>
            </c:strRef>
          </c:tx>
          <c:spPr>
            <a:solidFill>
              <a:schemeClr val="accent1">
                <a:lumMod val="20000"/>
                <a:lumOff val="80000"/>
              </a:schemeClr>
            </a:solidFill>
            <a:ln>
              <a:noFill/>
            </a:ln>
            <a:effectLst/>
          </c:spPr>
          <c:val>
            <c:numRef>
              <c:f>'[2022 FRS Chart sen 08_1.xlsx]Sheet1'!$B$67:$I$67</c:f>
              <c:numCache>
                <c:formatCode>General</c:formatCode>
                <c:ptCount val="8"/>
                <c:pt idx="3" formatCode="0.0">
                  <c:v>0</c:v>
                </c:pt>
                <c:pt idx="4" formatCode="0.0">
                  <c:v>996.74669079771979</c:v>
                </c:pt>
                <c:pt idx="5" formatCode="0.0">
                  <c:v>1091.1625992892928</c:v>
                </c:pt>
                <c:pt idx="6" formatCode="0.0">
                  <c:v>1180.5010837646737</c:v>
                </c:pt>
                <c:pt idx="7" formatCode="0.0">
                  <c:v>1276.2467937842966</c:v>
                </c:pt>
              </c:numCache>
            </c:numRef>
          </c:val>
          <c:extLst>
            <c:ext xmlns:c16="http://schemas.microsoft.com/office/drawing/2014/chart" uri="{C3380CC4-5D6E-409C-BE32-E72D297353CC}">
              <c16:uniqueId val="{00000006-237C-4FDF-A4DC-0BC820D2C52A}"/>
            </c:ext>
          </c:extLst>
        </c:ser>
        <c:dLbls>
          <c:showLegendKey val="0"/>
          <c:showVal val="0"/>
          <c:showCatName val="0"/>
          <c:showSerName val="0"/>
          <c:showPercent val="0"/>
          <c:showBubbleSize val="0"/>
        </c:dLbls>
        <c:axId val="-2057003952"/>
        <c:axId val="-2056997424"/>
      </c:areaChart>
      <c:lineChart>
        <c:grouping val="standard"/>
        <c:varyColors val="0"/>
        <c:ser>
          <c:idx val="7"/>
          <c:order val="7"/>
          <c:tx>
            <c:strRef>
              <c:f>'[2022 FRS Chart sen 08_1.xlsx]Sheet1'!$A$58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'[2022 FRS Chart sen 08_1.xlsx]Sheet1'!$B$2:$I$3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08_1.xlsx]Sheet1'!$B$58:$I$58</c:f>
              <c:numCache>
                <c:formatCode>0.0</c:formatCode>
                <c:ptCount val="8"/>
                <c:pt idx="0">
                  <c:v>11822.151901180001</c:v>
                </c:pt>
                <c:pt idx="1">
                  <c:v>12907.343685770002</c:v>
                </c:pt>
                <c:pt idx="2">
                  <c:v>12407.017042519999</c:v>
                </c:pt>
                <c:pt idx="3">
                  <c:v>14579</c:v>
                </c:pt>
                <c:pt idx="4">
                  <c:v>16858</c:v>
                </c:pt>
                <c:pt idx="5">
                  <c:v>18228</c:v>
                </c:pt>
                <c:pt idx="6">
                  <c:v>19732</c:v>
                </c:pt>
                <c:pt idx="7">
                  <c:v>21266</c:v>
                </c:pt>
              </c:numCache>
            </c:numRef>
          </c:val>
          <c:smooth val="0"/>
          <c:extLst>
            <c:ext xmlns:c16="http://schemas.microsoft.com/office/drawing/2014/chart" uri="{C3380CC4-5D6E-409C-BE32-E72D297353CC}">
              <c16:uniqueId val="{00000007-237C-4FDF-A4DC-0BC820D2C52A}"/>
            </c:ext>
          </c:extLst>
        </c:ser>
        <c:dLbls>
          <c:showLegendKey val="0"/>
          <c:showVal val="0"/>
          <c:showCatName val="0"/>
          <c:showSerName val="0"/>
          <c:showPercent val="0"/>
          <c:showBubbleSize val="0"/>
        </c:dLbls>
        <c:marker val="1"/>
        <c:smooth val="0"/>
        <c:axId val="-2057003952"/>
        <c:axId val="-2056997424"/>
      </c:lineChart>
      <c:catAx>
        <c:axId val="-205700395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6997424"/>
        <c:crosses val="autoZero"/>
        <c:auto val="1"/>
        <c:lblAlgn val="ctr"/>
        <c:lblOffset val="100"/>
        <c:noMultiLvlLbl val="0"/>
      </c:catAx>
      <c:valAx>
        <c:axId val="-2056997424"/>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7003952"/>
        <c:crosses val="autoZero"/>
        <c:crossBetween val="between"/>
      </c:valAx>
      <c:spPr>
        <a:noFill/>
        <a:ln>
          <a:noFill/>
        </a:ln>
        <a:effectLst/>
      </c:spPr>
    </c:plotArea>
    <c:legend>
      <c:legendPos val="b"/>
      <c:layout>
        <c:manualLayout>
          <c:xMode val="edge"/>
          <c:yMode val="edge"/>
          <c:x val="0.10373192154752017"/>
          <c:y val="0.86545144356955384"/>
          <c:w val="0.83574936161854252"/>
          <c:h val="0.1297866516685414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ka-GE" sz="1050"/>
              <a:t>მთლიანი სალდო</a:t>
            </a:r>
            <a:endParaRPr lang="en-US"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001944144135781E-2"/>
          <c:y val="0.13250018747656542"/>
          <c:w val="0.88028217156414668"/>
          <c:h val="0.5569823772028496"/>
        </c:manualLayout>
      </c:layout>
      <c:areaChart>
        <c:grouping val="stacked"/>
        <c:varyColors val="0"/>
        <c:ser>
          <c:idx val="0"/>
          <c:order val="0"/>
          <c:tx>
            <c:strRef>
              <c:f>'[2022 FRS Chart sen 08_1.xlsx]Sheet1'!$A$89</c:f>
              <c:strCache>
                <c:ptCount val="1"/>
              </c:strCache>
            </c:strRef>
          </c:tx>
          <c:spPr>
            <a:noFill/>
            <a:ln>
              <a:noFill/>
            </a:ln>
            <a:effectLst/>
          </c:spPr>
          <c:val>
            <c:numRef>
              <c:f>'[2022 FRS Chart sen 08_1.xlsx]Sheet1'!$B$89:$I$89</c:f>
              <c:numCache>
                <c:formatCode>0.0%</c:formatCode>
                <c:ptCount val="8"/>
                <c:pt idx="0">
                  <c:v>-7.2837856225508625E-3</c:v>
                </c:pt>
                <c:pt idx="1">
                  <c:v>-2.7460025937072342E-2</c:v>
                </c:pt>
                <c:pt idx="2">
                  <c:v>-9.2580684722500625E-2</c:v>
                </c:pt>
                <c:pt idx="3">
                  <c:v>-6.7808502790984354E-2</c:v>
                </c:pt>
                <c:pt idx="4">
                  <c:v>-6.0247962567419266E-2</c:v>
                </c:pt>
                <c:pt idx="5">
                  <c:v>-4.526381624731729E-2</c:v>
                </c:pt>
                <c:pt idx="6">
                  <c:v>-4.2733627016462328E-2</c:v>
                </c:pt>
                <c:pt idx="7">
                  <c:v>-4.0790442278137128E-2</c:v>
                </c:pt>
              </c:numCache>
            </c:numRef>
          </c:val>
          <c:extLst>
            <c:ext xmlns:c16="http://schemas.microsoft.com/office/drawing/2014/chart" uri="{C3380CC4-5D6E-409C-BE32-E72D297353CC}">
              <c16:uniqueId val="{00000000-3D69-4F0C-8FC0-2CEEBAF7DC4A}"/>
            </c:ext>
          </c:extLst>
        </c:ser>
        <c:ser>
          <c:idx val="1"/>
          <c:order val="1"/>
          <c:tx>
            <c:strRef>
              <c:f>'[2022 FRS Chart sen 08_1.xlsx]Sheet1'!$A$90</c:f>
              <c:strCache>
                <c:ptCount val="1"/>
                <c:pt idx="0">
                  <c:v>-95%</c:v>
                </c:pt>
              </c:strCache>
            </c:strRef>
          </c:tx>
          <c:spPr>
            <a:solidFill>
              <a:schemeClr val="accent1">
                <a:lumMod val="20000"/>
                <a:lumOff val="80000"/>
              </a:schemeClr>
            </a:solidFill>
            <a:ln>
              <a:noFill/>
            </a:ln>
            <a:effectLst/>
          </c:spPr>
          <c:val>
            <c:numRef>
              <c:f>'[2022 FRS Chart sen 08_1.xlsx]Sheet1'!$B$90:$I$90</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c:ext xmlns:c16="http://schemas.microsoft.com/office/drawing/2014/chart" uri="{C3380CC4-5D6E-409C-BE32-E72D297353CC}">
              <c16:uniqueId val="{00000001-3D69-4F0C-8FC0-2CEEBAF7DC4A}"/>
            </c:ext>
          </c:extLst>
        </c:ser>
        <c:ser>
          <c:idx val="2"/>
          <c:order val="2"/>
          <c:tx>
            <c:strRef>
              <c:f>'[2022 FRS Chart sen 08_1.xlsx]Sheet1'!$A$91</c:f>
              <c:strCache>
                <c:ptCount val="1"/>
                <c:pt idx="0">
                  <c:v>-60%</c:v>
                </c:pt>
              </c:strCache>
            </c:strRef>
          </c:tx>
          <c:spPr>
            <a:solidFill>
              <a:schemeClr val="accent1">
                <a:lumMod val="40000"/>
                <a:lumOff val="60000"/>
              </a:schemeClr>
            </a:solidFill>
            <a:ln>
              <a:noFill/>
            </a:ln>
            <a:effectLst/>
          </c:spPr>
          <c:val>
            <c:numRef>
              <c:f>'[2022 FRS Chart sen 08_1.xlsx]Sheet1'!$B$91:$I$91</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c:ext xmlns:c16="http://schemas.microsoft.com/office/drawing/2014/chart" uri="{C3380CC4-5D6E-409C-BE32-E72D297353CC}">
              <c16:uniqueId val="{00000002-3D69-4F0C-8FC0-2CEEBAF7DC4A}"/>
            </c:ext>
          </c:extLst>
        </c:ser>
        <c:ser>
          <c:idx val="3"/>
          <c:order val="3"/>
          <c:tx>
            <c:strRef>
              <c:f>'[2022 FRS Chart sen 08_1.xlsx]Sheet1'!$A$92</c:f>
              <c:strCache>
                <c:ptCount val="1"/>
                <c:pt idx="0">
                  <c:v>-30%</c:v>
                </c:pt>
              </c:strCache>
            </c:strRef>
          </c:tx>
          <c:spPr>
            <a:solidFill>
              <a:schemeClr val="accent1">
                <a:lumMod val="60000"/>
                <a:lumOff val="40000"/>
              </a:schemeClr>
            </a:solidFill>
            <a:ln>
              <a:noFill/>
            </a:ln>
            <a:effectLst/>
          </c:spPr>
          <c:val>
            <c:numRef>
              <c:f>'[2022 FRS Chart sen 08_1.xlsx]Sheet1'!$B$92:$I$92</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c:ext xmlns:c16="http://schemas.microsoft.com/office/drawing/2014/chart" uri="{C3380CC4-5D6E-409C-BE32-E72D297353CC}">
              <c16:uniqueId val="{00000003-3D69-4F0C-8FC0-2CEEBAF7DC4A}"/>
            </c:ext>
          </c:extLst>
        </c:ser>
        <c:ser>
          <c:idx val="4"/>
          <c:order val="4"/>
          <c:tx>
            <c:strRef>
              <c:f>'[2022 FRS Chart sen 08_1.xlsx]Sheet1'!$A$93</c:f>
              <c:strCache>
                <c:ptCount val="1"/>
                <c:pt idx="0">
                  <c:v>+30%</c:v>
                </c:pt>
              </c:strCache>
            </c:strRef>
          </c:tx>
          <c:spPr>
            <a:solidFill>
              <a:schemeClr val="accent1">
                <a:lumMod val="60000"/>
                <a:lumOff val="40000"/>
              </a:schemeClr>
            </a:solidFill>
            <a:ln>
              <a:noFill/>
            </a:ln>
            <a:effectLst/>
          </c:spPr>
          <c:val>
            <c:numRef>
              <c:f>'[2022 FRS Chart sen 08_1.xlsx]Sheet1'!$B$93:$I$93</c:f>
              <c:numCache>
                <c:formatCode>General</c:formatCode>
                <c:ptCount val="8"/>
                <c:pt idx="3" formatCode="0.0%">
                  <c:v>0</c:v>
                </c:pt>
                <c:pt idx="4" formatCode="0.0%">
                  <c:v>3.0841379295586655E-3</c:v>
                </c:pt>
                <c:pt idx="5" formatCode="0.0%">
                  <c:v>3.0841379295586655E-3</c:v>
                </c:pt>
                <c:pt idx="6" formatCode="0.0%">
                  <c:v>3.0841379295586655E-3</c:v>
                </c:pt>
                <c:pt idx="7" formatCode="0.0%">
                  <c:v>3.0841379295586655E-3</c:v>
                </c:pt>
              </c:numCache>
            </c:numRef>
          </c:val>
          <c:extLst>
            <c:ext xmlns:c16="http://schemas.microsoft.com/office/drawing/2014/chart" uri="{C3380CC4-5D6E-409C-BE32-E72D297353CC}">
              <c16:uniqueId val="{00000004-3D69-4F0C-8FC0-2CEEBAF7DC4A}"/>
            </c:ext>
          </c:extLst>
        </c:ser>
        <c:ser>
          <c:idx val="5"/>
          <c:order val="5"/>
          <c:tx>
            <c:strRef>
              <c:f>'[2022 FRS Chart sen 08_1.xlsx]Sheet1'!$A$94</c:f>
              <c:strCache>
                <c:ptCount val="1"/>
                <c:pt idx="0">
                  <c:v>+60%</c:v>
                </c:pt>
              </c:strCache>
            </c:strRef>
          </c:tx>
          <c:spPr>
            <a:solidFill>
              <a:schemeClr val="accent1">
                <a:lumMod val="40000"/>
                <a:lumOff val="60000"/>
              </a:schemeClr>
            </a:solidFill>
            <a:ln>
              <a:noFill/>
            </a:ln>
            <a:effectLst/>
          </c:spPr>
          <c:val>
            <c:numRef>
              <c:f>'[2022 FRS Chart sen 08_1.xlsx]Sheet1'!$B$94:$I$94</c:f>
              <c:numCache>
                <c:formatCode>General</c:formatCode>
                <c:ptCount val="8"/>
                <c:pt idx="3" formatCode="0.0%">
                  <c:v>0</c:v>
                </c:pt>
                <c:pt idx="4" formatCode="0.0%">
                  <c:v>3.7637135223073204E-3</c:v>
                </c:pt>
                <c:pt idx="5" formatCode="0.0%">
                  <c:v>3.7637135223073204E-3</c:v>
                </c:pt>
                <c:pt idx="6" formatCode="0.0%">
                  <c:v>3.7637135223073204E-3</c:v>
                </c:pt>
                <c:pt idx="7" formatCode="0.0%">
                  <c:v>3.7637135223073204E-3</c:v>
                </c:pt>
              </c:numCache>
            </c:numRef>
          </c:val>
          <c:extLst>
            <c:ext xmlns:c16="http://schemas.microsoft.com/office/drawing/2014/chart" uri="{C3380CC4-5D6E-409C-BE32-E72D297353CC}">
              <c16:uniqueId val="{00000005-3D69-4F0C-8FC0-2CEEBAF7DC4A}"/>
            </c:ext>
          </c:extLst>
        </c:ser>
        <c:ser>
          <c:idx val="6"/>
          <c:order val="6"/>
          <c:tx>
            <c:strRef>
              <c:f>'[2022 FRS Chart sen 08_1.xlsx]Sheet1'!$A$95</c:f>
              <c:strCache>
                <c:ptCount val="1"/>
                <c:pt idx="0">
                  <c:v>+95%</c:v>
                </c:pt>
              </c:strCache>
            </c:strRef>
          </c:tx>
          <c:spPr>
            <a:solidFill>
              <a:schemeClr val="accent1">
                <a:lumMod val="20000"/>
                <a:lumOff val="80000"/>
              </a:schemeClr>
            </a:solidFill>
            <a:ln>
              <a:noFill/>
            </a:ln>
            <a:effectLst/>
          </c:spPr>
          <c:val>
            <c:numRef>
              <c:f>'[2022 FRS Chart sen 08_1.xlsx]Sheet1'!$B$95:$I$95</c:f>
              <c:numCache>
                <c:formatCode>General</c:formatCode>
                <c:ptCount val="8"/>
                <c:pt idx="3" formatCode="0.0%">
                  <c:v>0</c:v>
                </c:pt>
                <c:pt idx="4" formatCode="0.0%">
                  <c:v>1.0687634771989805E-2</c:v>
                </c:pt>
                <c:pt idx="5" formatCode="0.0%">
                  <c:v>1.0687634771989805E-2</c:v>
                </c:pt>
                <c:pt idx="6" formatCode="0.0%">
                  <c:v>1.0687634771989805E-2</c:v>
                </c:pt>
                <c:pt idx="7" formatCode="0.0%">
                  <c:v>1.0687634771989805E-2</c:v>
                </c:pt>
              </c:numCache>
            </c:numRef>
          </c:val>
          <c:extLst>
            <c:ext xmlns:c16="http://schemas.microsoft.com/office/drawing/2014/chart" uri="{C3380CC4-5D6E-409C-BE32-E72D297353CC}">
              <c16:uniqueId val="{00000006-3D69-4F0C-8FC0-2CEEBAF7DC4A}"/>
            </c:ext>
          </c:extLst>
        </c:ser>
        <c:dLbls>
          <c:showLegendKey val="0"/>
          <c:showVal val="0"/>
          <c:showCatName val="0"/>
          <c:showSerName val="0"/>
          <c:showPercent val="0"/>
          <c:showBubbleSize val="0"/>
        </c:dLbls>
        <c:axId val="-2057001776"/>
        <c:axId val="-2057001232"/>
      </c:areaChart>
      <c:lineChart>
        <c:grouping val="standard"/>
        <c:varyColors val="0"/>
        <c:ser>
          <c:idx val="7"/>
          <c:order val="7"/>
          <c:tx>
            <c:strRef>
              <c:f>'[2022 FRS Chart sen 08_1.xlsx]Sheet1'!$A$86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'[2022 FRS Chart sen 08_1.xlsx]Sheet1'!$B$2:$I$3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2018</c:v>
                  </c:pt>
                  <c:pt idx="1">
                    <c:v>2019</c:v>
                  </c:pt>
                  <c:pt idx="2">
                    <c:v>2020</c:v>
                  </c:pt>
                  <c:pt idx="3">
                    <c:v>2021</c:v>
                  </c:pt>
                  <c:pt idx="4">
                    <c:v>2022</c:v>
                  </c:pt>
                  <c:pt idx="5">
                    <c:v>2023</c:v>
                  </c:pt>
                  <c:pt idx="6">
                    <c:v>2024</c:v>
                  </c:pt>
                  <c:pt idx="7">
                    <c:v>2025</c:v>
                  </c:pt>
                </c:lvl>
              </c:multiLvlStrCache>
            </c:multiLvlStrRef>
          </c:cat>
          <c:val>
            <c:numRef>
              <c:f>'[2022 FRS Chart sen 08_1.xlsx]Sheet1'!$B$86:$I$86</c:f>
              <c:numCache>
                <c:formatCode>0.0%</c:formatCode>
                <c:ptCount val="8"/>
                <c:pt idx="0">
                  <c:v>-7.2837856225508625E-3</c:v>
                </c:pt>
                <c:pt idx="1">
                  <c:v>-2.7460025937072342E-2</c:v>
                </c:pt>
                <c:pt idx="2">
                  <c:v>-9.2580684722500625E-2</c:v>
                </c:pt>
                <c:pt idx="3">
                  <c:v>-6.7808502790984354E-2</c:v>
                </c:pt>
                <c:pt idx="4">
                  <c:v>-4.2712476343563476E-2</c:v>
                </c:pt>
                <c:pt idx="5">
                  <c:v>-2.7728330023461503E-2</c:v>
                </c:pt>
                <c:pt idx="6">
                  <c:v>-2.519814079260654E-2</c:v>
                </c:pt>
                <c:pt idx="7">
                  <c:v>-2.3254956054281337E-2</c:v>
                </c:pt>
              </c:numCache>
            </c:numRef>
          </c:val>
          <c:smooth val="0"/>
          <c:extLst>
            <c:ext xmlns:c16="http://schemas.microsoft.com/office/drawing/2014/chart" uri="{C3380CC4-5D6E-409C-BE32-E72D297353CC}">
              <c16:uniqueId val="{00000007-3D69-4F0C-8FC0-2CEEBAF7DC4A}"/>
            </c:ext>
          </c:extLst>
        </c:ser>
        <c:dLbls>
          <c:showLegendKey val="0"/>
          <c:showVal val="0"/>
          <c:showCatName val="0"/>
          <c:showSerName val="0"/>
          <c:showPercent val="0"/>
          <c:showBubbleSize val="0"/>
        </c:dLbls>
        <c:marker val="1"/>
        <c:smooth val="0"/>
        <c:axId val="-2057001776"/>
        <c:axId val="-2057001232"/>
      </c:lineChart>
      <c:catAx>
        <c:axId val="-2057001776"/>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7001232"/>
        <c:crosses val="autoZero"/>
        <c:auto val="1"/>
        <c:lblAlgn val="ctr"/>
        <c:lblOffset val="100"/>
        <c:noMultiLvlLbl val="0"/>
      </c:catAx>
      <c:valAx>
        <c:axId val="-2057001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57001776"/>
        <c:crosses val="autoZero"/>
        <c:crossBetween val="between"/>
      </c:valAx>
      <c:spPr>
        <a:noFill/>
        <a:ln>
          <a:noFill/>
        </a:ln>
        <a:effectLst/>
      </c:spPr>
    </c:plotArea>
    <c:legend>
      <c:legendPos val="b"/>
      <c:layout>
        <c:manualLayout>
          <c:xMode val="edge"/>
          <c:yMode val="edge"/>
          <c:x val="7.6222514024285565E-2"/>
          <c:y val="0.85116572928383949"/>
          <c:w val="0.84755497195142893"/>
          <c:h val="0.1345485564304461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2020</c:v>
                </c:pt>
                <c:pt idx="1">
                  <c:v>2021</c:v>
                </c:pt>
                <c:pt idx="2">
                  <c:v>2022</c:v>
                </c:pt>
                <c:pt idx="3">
                  <c:v>2023</c:v>
                </c:pt>
                <c:pt idx="4">
                  <c:v>2024</c:v>
                </c:pt>
                <c:pt idx="5">
                  <c:v>2025</c:v>
                </c:pt>
              </c:numCache>
            </c:numRef>
          </c:cat>
          <c:val>
            <c:numRef>
              <c:f>Sheet1!$B$2:$B$7</c:f>
              <c:numCache>
                <c:formatCode>0.0%</c:formatCode>
                <c:ptCount val="6"/>
                <c:pt idx="0">
                  <c:v>-6.1596729395683836E-2</c:v>
                </c:pt>
                <c:pt idx="1">
                  <c:v>9.5000285381207972E-2</c:v>
                </c:pt>
                <c:pt idx="2">
                  <c:v>4.0999446782153059E-2</c:v>
                </c:pt>
                <c:pt idx="3">
                  <c:v>3.8000240847969824E-2</c:v>
                </c:pt>
                <c:pt idx="4">
                  <c:v>3.9000173954146788E-2</c:v>
                </c:pt>
                <c:pt idx="5">
                  <c:v>3.9999875115062755E-2</c:v>
                </c:pt>
              </c:numCache>
            </c:numRef>
          </c:val>
          <c:smooth val="0"/>
          <c:extLst>
            <c:ext xmlns:c16="http://schemas.microsoft.com/office/drawing/2014/chart" uri="{C3380CC4-5D6E-409C-BE32-E72D297353CC}">
              <c16:uniqueId val="{00000000-BE0D-43D7-A384-7C7D23980273}"/>
            </c:ext>
          </c:extLst>
        </c:ser>
        <c:dLbls>
          <c:showLegendKey val="0"/>
          <c:showVal val="0"/>
          <c:showCatName val="0"/>
          <c:showSerName val="0"/>
          <c:showPercent val="0"/>
          <c:showBubbleSize val="0"/>
        </c:dLbls>
        <c:smooth val="0"/>
        <c:axId val="-2057009392"/>
        <c:axId val="-2056999056"/>
      </c:lineChart>
      <c:catAx>
        <c:axId val="-20570093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2056999056"/>
        <c:crosses val="autoZero"/>
        <c:auto val="1"/>
        <c:lblAlgn val="ctr"/>
        <c:lblOffset val="100"/>
        <c:noMultiLvlLbl val="0"/>
      </c:catAx>
      <c:valAx>
        <c:axId val="-2056999056"/>
        <c:scaling>
          <c:orientation val="minMax"/>
        </c:scaling>
        <c:delete val="1"/>
        <c:axPos val="l"/>
        <c:numFmt formatCode="0.0%" sourceLinked="1"/>
        <c:majorTickMark val="none"/>
        <c:minorTickMark val="none"/>
        <c:tickLblPos val="nextTo"/>
        <c:crossAx val="-2057009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0.46765</cdr:x>
      <cdr:y>0.12933</cdr:y>
    </cdr:from>
    <cdr:to>
      <cdr:x>0.92553</cdr:x>
      <cdr:y>0.64362</cdr:y>
    </cdr:to>
    <cdr:sp macro="" textlink="">
      <cdr:nvSpPr>
        <cdr:cNvPr id="2" name="Rectangle 1"/>
        <cdr:cNvSpPr/>
      </cdr:nvSpPr>
      <cdr:spPr>
        <a:xfrm xmlns:a="http://schemas.openxmlformats.org/drawingml/2006/main">
          <a:off x="1511812" y="344933"/>
          <a:ext cx="1480228" cy="1371601"/>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0.46543</cdr:x>
      <cdr:y>0.12933</cdr:y>
    </cdr:from>
    <cdr:to>
      <cdr:x>0.93218</cdr:x>
      <cdr:y>0.64362</cdr:y>
    </cdr:to>
    <cdr:sp macro="" textlink="">
      <cdr:nvSpPr>
        <cdr:cNvPr id="3" name="Rectangle 2"/>
        <cdr:cNvSpPr/>
      </cdr:nvSpPr>
      <cdr:spPr>
        <a:xfrm xmlns:a="http://schemas.openxmlformats.org/drawingml/2006/main">
          <a:off x="1504635" y="344934"/>
          <a:ext cx="1508903" cy="137160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0.48144</cdr:x>
      <cdr:y>0.13801</cdr:y>
    </cdr:from>
    <cdr:to>
      <cdr:x>0.92364</cdr:x>
      <cdr:y>0.68727</cdr:y>
    </cdr:to>
    <cdr:sp macro="" textlink="">
      <cdr:nvSpPr>
        <cdr:cNvPr id="3" name="Rectangle 2"/>
        <cdr:cNvSpPr/>
      </cdr:nvSpPr>
      <cdr:spPr>
        <a:xfrm xmlns:a="http://schemas.openxmlformats.org/drawingml/2006/main">
          <a:off x="1556392" y="368074"/>
          <a:ext cx="1429538" cy="1464863"/>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0.47654</cdr:x>
      <cdr:y>0.13012</cdr:y>
    </cdr:from>
    <cdr:to>
      <cdr:x>0.92229</cdr:x>
      <cdr:y>0.68727</cdr:y>
    </cdr:to>
    <cdr:sp macro="" textlink="">
      <cdr:nvSpPr>
        <cdr:cNvPr id="3" name="Rectangle 2"/>
        <cdr:cNvSpPr/>
      </cdr:nvSpPr>
      <cdr:spPr>
        <a:xfrm xmlns:a="http://schemas.openxmlformats.org/drawingml/2006/main">
          <a:off x="1540551" y="347037"/>
          <a:ext cx="1441014" cy="1485900"/>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0.91859</cdr:x>
      <cdr:y>0.04545</cdr:y>
    </cdr:from>
    <cdr:to>
      <cdr:x>0.99857</cdr:x>
      <cdr:y>0.12303</cdr:y>
    </cdr:to>
    <cdr:sp macro="" textlink="">
      <cdr:nvSpPr>
        <cdr:cNvPr id="2" name="Text Box 2"/>
        <cdr:cNvSpPr txBox="1">
          <a:spLocks xmlns:a="http://schemas.openxmlformats.org/drawingml/2006/main" noChangeArrowheads="1"/>
        </cdr:cNvSpPr>
      </cdr:nvSpPr>
      <cdr:spPr bwMode="auto">
        <a:xfrm xmlns:a="http://schemas.openxmlformats.org/drawingml/2006/main">
          <a:off x="6098419" y="175647"/>
          <a:ext cx="530981" cy="2998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gn="r">
            <a:lnSpc>
              <a:spcPct val="107000"/>
            </a:lnSpc>
            <a:spcBef>
              <a:spcPts val="0"/>
            </a:spcBef>
            <a:spcAft>
              <a:spcPts val="800"/>
            </a:spcAft>
          </a:pPr>
          <a:r>
            <a:rPr lang="en-US" sz="1000">
              <a:solidFill>
                <a:srgbClr val="006699"/>
              </a:solidFill>
              <a:effectLst/>
              <a:latin typeface="Calibri" panose="020F0502020204030204" pitchFamily="34" charset="0"/>
              <a:ea typeface="Calibri" panose="020F0502020204030204" pitchFamily="34" charset="0"/>
              <a:cs typeface="Times New Roman" panose="02020603050405020304" pitchFamily="18" charset="0"/>
            </a:rPr>
            <a:t>-0.3%</a:t>
          </a:r>
          <a:endParaRPr lang="en-US" sz="1400">
            <a:solidFill>
              <a:srgbClr val="006699"/>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0.23884</cdr:y>
    </cdr:from>
    <cdr:to>
      <cdr:x>1</cdr:x>
      <cdr:y>0.31642</cdr:y>
    </cdr:to>
    <cdr:sp macro="" textlink="">
      <cdr:nvSpPr>
        <cdr:cNvPr id="3" name="Text Box 2"/>
        <cdr:cNvSpPr txBox="1">
          <a:spLocks xmlns:a="http://schemas.openxmlformats.org/drawingml/2006/main" noChangeArrowheads="1"/>
        </cdr:cNvSpPr>
      </cdr:nvSpPr>
      <cdr:spPr bwMode="auto">
        <a:xfrm xmlns:a="http://schemas.openxmlformats.org/drawingml/2006/main">
          <a:off x="6107944" y="923039"/>
          <a:ext cx="530981" cy="2998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r">
            <a:lnSpc>
              <a:spcPct val="107000"/>
            </a:lnSpc>
            <a:spcBef>
              <a:spcPts val="0"/>
            </a:spcBef>
            <a:spcAft>
              <a:spcPts val="800"/>
            </a:spcAft>
          </a:pPr>
          <a:r>
            <a:rPr lang="ka-GE"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a:t>
          </a:r>
          <a:r>
            <a:rPr lang="en-US"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7.9</a:t>
          </a:r>
          <a:r>
            <a:rPr lang="ka-GE" sz="1000">
              <a:solidFill>
                <a:srgbClr val="FF7C80"/>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rgbClr val="FF7C80"/>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0.92002</cdr:x>
      <cdr:y>0.08528</cdr:y>
    </cdr:from>
    <cdr:to>
      <cdr:x>1</cdr:x>
      <cdr:y>0.16286</cdr:y>
    </cdr:to>
    <cdr:sp macro="" textlink="">
      <cdr:nvSpPr>
        <cdr:cNvPr id="4" name="Text Box 2"/>
        <cdr:cNvSpPr txBox="1">
          <a:spLocks xmlns:a="http://schemas.openxmlformats.org/drawingml/2006/main" noChangeArrowheads="1"/>
        </cdr:cNvSpPr>
      </cdr:nvSpPr>
      <cdr:spPr bwMode="auto">
        <a:xfrm xmlns:a="http://schemas.openxmlformats.org/drawingml/2006/main">
          <a:off x="6107944" y="329587"/>
          <a:ext cx="530981" cy="2998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r">
            <a:lnSpc>
              <a:spcPct val="107000"/>
            </a:lnSpc>
            <a:spcBef>
              <a:spcPts val="0"/>
            </a:spcBef>
            <a:spcAft>
              <a:spcPts val="800"/>
            </a:spcAft>
          </a:pPr>
          <a:r>
            <a:rPr lang="ka-GE"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a:t>
          </a:r>
          <a:r>
            <a:rPr lang="en-US"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1.9</a:t>
          </a:r>
          <a:r>
            <a:rPr lang="ka-GE" sz="10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rPr>
            <a:t>%</a:t>
          </a:r>
          <a:endParaRPr lang="en-US" sz="1400">
            <a:solidFill>
              <a:schemeClr val="accent4"/>
            </a:solidFill>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FF62-CD57-420D-9D7A-99827BBA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Microsoft account</cp:lastModifiedBy>
  <cp:revision>4</cp:revision>
  <cp:lastPrinted>2021-07-05T11:51:00Z</cp:lastPrinted>
  <dcterms:created xsi:type="dcterms:W3CDTF">2021-11-04T14:21:00Z</dcterms:created>
  <dcterms:modified xsi:type="dcterms:W3CDTF">2021-11-04T14:34:00Z</dcterms:modified>
</cp:coreProperties>
</file>